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3E" w:rsidRDefault="005B4A3E" w:rsidP="0086108E">
      <w:pPr>
        <w:spacing w:after="120"/>
        <w:rPr>
          <w:rFonts w:ascii="Times New Roman" w:hAnsi="Times New Roman" w:cs="Times New Roman"/>
          <w:b/>
          <w:color w:val="1F497D" w:themeColor="text2"/>
          <w:sz w:val="28"/>
          <w:szCs w:val="26"/>
          <w:lang w:val="ru-RU"/>
        </w:rPr>
      </w:pPr>
    </w:p>
    <w:p w:rsidR="0086108E" w:rsidRPr="0086108E" w:rsidRDefault="0086108E" w:rsidP="0086108E">
      <w:pPr>
        <w:spacing w:after="120"/>
        <w:rPr>
          <w:rFonts w:ascii="Times New Roman" w:hAnsi="Times New Roman" w:cs="Times New Roman"/>
          <w:b/>
          <w:color w:val="1F497D" w:themeColor="text2"/>
          <w:sz w:val="28"/>
          <w:szCs w:val="26"/>
        </w:rPr>
      </w:pPr>
      <w:r w:rsidRPr="0086108E">
        <w:rPr>
          <w:rFonts w:ascii="Times New Roman" w:hAnsi="Times New Roman" w:cs="Times New Roman"/>
          <w:b/>
          <w:bCs/>
          <w:noProof/>
          <w:sz w:val="28"/>
          <w:szCs w:val="27"/>
          <w:lang w:eastAsia="uk-UA"/>
        </w:rPr>
        <w:drawing>
          <wp:anchor distT="0" distB="0" distL="114300" distR="114300" simplePos="0" relativeHeight="251659264" behindDoc="0" locked="0" layoutInCell="1" allowOverlap="1" wp14:anchorId="2CAEF507" wp14:editId="4EFADD7E">
            <wp:simplePos x="722630" y="722630"/>
            <wp:positionH relativeFrom="margin">
              <wp:align>left</wp:align>
            </wp:positionH>
            <wp:positionV relativeFrom="margin">
              <wp:posOffset>379848</wp:posOffset>
            </wp:positionV>
            <wp:extent cx="6301105" cy="1005205"/>
            <wp:effectExtent l="0" t="0" r="444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ex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08E" w:rsidRPr="0086108E" w:rsidRDefault="0086108E" w:rsidP="0086108E">
      <w:pPr>
        <w:spacing w:after="120"/>
        <w:rPr>
          <w:rFonts w:ascii="Times New Roman" w:hAnsi="Times New Roman" w:cs="Times New Roman"/>
          <w:b/>
          <w:color w:val="1F497D" w:themeColor="text2"/>
          <w:sz w:val="28"/>
          <w:szCs w:val="26"/>
        </w:rPr>
      </w:pPr>
    </w:p>
    <w:p w:rsidR="0086108E" w:rsidRPr="0086108E" w:rsidRDefault="0086108E" w:rsidP="0086108E">
      <w:pPr>
        <w:spacing w:after="120"/>
        <w:jc w:val="center"/>
        <w:rPr>
          <w:rFonts w:cs="Times New Roman"/>
          <w:b/>
          <w:color w:val="1F497D" w:themeColor="text2"/>
          <w:sz w:val="28"/>
          <w:szCs w:val="26"/>
        </w:rPr>
      </w:pPr>
      <w:r w:rsidRPr="0086108E">
        <w:rPr>
          <w:rFonts w:cs="Times New Roman"/>
          <w:b/>
          <w:color w:val="1F497D" w:themeColor="text2"/>
          <w:sz w:val="28"/>
          <w:szCs w:val="26"/>
        </w:rPr>
        <w:t>ІНФОРМАЦІЙНО-СТАТИСТИЧНА ДОВІДКА ЩОДО ВИКОРИСТАННЯ ТА</w:t>
      </w:r>
      <w:r w:rsidRPr="0086108E">
        <w:rPr>
          <w:rFonts w:cs="Times New Roman"/>
          <w:b/>
          <w:color w:val="1F497D" w:themeColor="text2"/>
          <w:sz w:val="28"/>
          <w:szCs w:val="26"/>
        </w:rPr>
        <w:br/>
        <w:t>РЕАЛІЗАЦІЇ ІНСТРУМЕНТУ ІНСТИТУЦІОНАЛЬНОЇ РОЗБУДОВИ ТАІЕХ В УКРАЇНІ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86108E">
        <w:rPr>
          <w:rFonts w:ascii="Times New Roman" w:hAnsi="Times New Roman" w:cs="Times New Roman"/>
          <w:b/>
          <w:bCs/>
          <w:sz w:val="25"/>
          <w:szCs w:val="25"/>
        </w:rPr>
        <w:t>TAIEX (</w:t>
      </w:r>
      <w:proofErr w:type="spellStart"/>
      <w:r w:rsidRPr="0086108E">
        <w:rPr>
          <w:rFonts w:ascii="Times New Roman" w:hAnsi="Times New Roman" w:cs="Times New Roman"/>
          <w:b/>
          <w:bCs/>
          <w:sz w:val="25"/>
          <w:szCs w:val="25"/>
        </w:rPr>
        <w:t>Technical</w:t>
      </w:r>
      <w:proofErr w:type="spellEnd"/>
      <w:r w:rsidRPr="0086108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86108E">
        <w:rPr>
          <w:rFonts w:ascii="Times New Roman" w:hAnsi="Times New Roman" w:cs="Times New Roman"/>
          <w:b/>
          <w:bCs/>
          <w:sz w:val="25"/>
          <w:szCs w:val="25"/>
        </w:rPr>
        <w:t>Assistance</w:t>
      </w:r>
      <w:proofErr w:type="spellEnd"/>
      <w:r w:rsidRPr="0086108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86108E">
        <w:rPr>
          <w:rFonts w:ascii="Times New Roman" w:hAnsi="Times New Roman" w:cs="Times New Roman"/>
          <w:b/>
          <w:bCs/>
          <w:sz w:val="25"/>
          <w:szCs w:val="25"/>
        </w:rPr>
        <w:t>Information</w:t>
      </w:r>
      <w:proofErr w:type="spellEnd"/>
      <w:r w:rsidRPr="0086108E">
        <w:rPr>
          <w:rFonts w:ascii="Times New Roman" w:hAnsi="Times New Roman" w:cs="Times New Roman"/>
          <w:b/>
          <w:bCs/>
          <w:sz w:val="25"/>
          <w:szCs w:val="25"/>
        </w:rPr>
        <w:t xml:space="preserve"> Exchange)</w:t>
      </w:r>
      <w:r w:rsidRPr="0086108E">
        <w:rPr>
          <w:rFonts w:ascii="Times New Roman" w:hAnsi="Times New Roman" w:cs="Times New Roman"/>
          <w:bCs/>
          <w:sz w:val="25"/>
          <w:szCs w:val="25"/>
        </w:rPr>
        <w:t xml:space="preserve"> – це інструмент технічної допомоги та обміну інформацією, що надається Європейською Комісією з метою розбудови інституціональної спроможності, наближення національного законодавства до законодавства Європейського Союзу, його імплементації та подальшого ефективного використання.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86108E">
        <w:rPr>
          <w:rFonts w:ascii="Times New Roman" w:hAnsi="Times New Roman" w:cs="Times New Roman"/>
          <w:b/>
          <w:bCs/>
          <w:sz w:val="25"/>
          <w:szCs w:val="25"/>
        </w:rPr>
        <w:t xml:space="preserve">ТАІЕХ </w:t>
      </w:r>
      <w:r w:rsidRPr="0086108E">
        <w:rPr>
          <w:rFonts w:ascii="Times New Roman" w:hAnsi="Times New Roman" w:cs="Times New Roman"/>
          <w:bCs/>
          <w:sz w:val="25"/>
          <w:szCs w:val="25"/>
        </w:rPr>
        <w:t>є одним із найбільш поширених, ефективних та доступних серед усіх можливих інструментів допомоги Європейського Союзу.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86108E">
        <w:rPr>
          <w:rFonts w:ascii="Times New Roman" w:hAnsi="Times New Roman" w:cs="Times New Roman"/>
          <w:bCs/>
          <w:sz w:val="25"/>
          <w:szCs w:val="25"/>
        </w:rPr>
        <w:t>Інструмент технічної допомоги та обміну інформацією (TAIEX) був заснований Генеральним Директоратом Європейської Комісії з питань сусідства та пер</w:t>
      </w:r>
      <w:r w:rsidR="000D4608">
        <w:rPr>
          <w:rFonts w:ascii="Times New Roman" w:hAnsi="Times New Roman" w:cs="Times New Roman"/>
          <w:bCs/>
          <w:sz w:val="25"/>
          <w:szCs w:val="25"/>
        </w:rPr>
        <w:t>еговорів щодо розширення у 1996 </w:t>
      </w:r>
      <w:r w:rsidRPr="0086108E">
        <w:rPr>
          <w:rFonts w:ascii="Times New Roman" w:hAnsi="Times New Roman" w:cs="Times New Roman"/>
          <w:bCs/>
          <w:sz w:val="25"/>
          <w:szCs w:val="25"/>
        </w:rPr>
        <w:t xml:space="preserve">році для того, щоб допомоги країнам у стислі терміни привести національне законодавство у відповідність до стандартів ЄС та забезпечити виконання законодавчих норм. Завдання ТАІЕХ полягає в спрощеному механізмі передачі інформації та обміні передовим досвідом між країнами-членами Європейського Союзу та </w:t>
      </w:r>
      <w:proofErr w:type="spellStart"/>
      <w:r w:rsidRPr="0086108E">
        <w:rPr>
          <w:rFonts w:ascii="Times New Roman" w:hAnsi="Times New Roman" w:cs="Times New Roman"/>
          <w:bCs/>
          <w:sz w:val="25"/>
          <w:szCs w:val="25"/>
        </w:rPr>
        <w:t>країнами-бенефіціарами</w:t>
      </w:r>
      <w:proofErr w:type="spellEnd"/>
      <w:r w:rsidRPr="0086108E">
        <w:rPr>
          <w:rFonts w:ascii="Times New Roman" w:hAnsi="Times New Roman" w:cs="Times New Roman"/>
          <w:bCs/>
          <w:sz w:val="25"/>
          <w:szCs w:val="25"/>
        </w:rPr>
        <w:t xml:space="preserve"> (країнами-кандидатами, країнами Західних </w:t>
      </w:r>
      <w:proofErr w:type="spellStart"/>
      <w:r w:rsidRPr="0086108E">
        <w:rPr>
          <w:rFonts w:ascii="Times New Roman" w:hAnsi="Times New Roman" w:cs="Times New Roman"/>
          <w:bCs/>
          <w:sz w:val="25"/>
          <w:szCs w:val="25"/>
        </w:rPr>
        <w:t>Балканів</w:t>
      </w:r>
      <w:proofErr w:type="spellEnd"/>
      <w:r w:rsidRPr="0086108E">
        <w:rPr>
          <w:rFonts w:ascii="Times New Roman" w:hAnsi="Times New Roman" w:cs="Times New Roman"/>
          <w:bCs/>
          <w:sz w:val="25"/>
          <w:szCs w:val="25"/>
        </w:rPr>
        <w:t xml:space="preserve"> та країнами Європейської політики сусідства). Україна почала використовувати інструмент TAIEX з 2006 року.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86108E">
        <w:rPr>
          <w:rFonts w:ascii="Times New Roman" w:hAnsi="Times New Roman" w:cs="Times New Roman"/>
          <w:bCs/>
          <w:sz w:val="25"/>
          <w:szCs w:val="25"/>
        </w:rPr>
        <w:t xml:space="preserve">Визначальними рисами інструменту TAIEX є </w:t>
      </w:r>
      <w:proofErr w:type="spellStart"/>
      <w:r w:rsidRPr="0086108E">
        <w:rPr>
          <w:rFonts w:ascii="Times New Roman" w:hAnsi="Times New Roman" w:cs="Times New Roman"/>
          <w:bCs/>
          <w:sz w:val="25"/>
          <w:szCs w:val="25"/>
        </w:rPr>
        <w:t>сфокусованість</w:t>
      </w:r>
      <w:proofErr w:type="spellEnd"/>
      <w:r w:rsidRPr="0086108E">
        <w:rPr>
          <w:rFonts w:ascii="Times New Roman" w:hAnsi="Times New Roman" w:cs="Times New Roman"/>
          <w:bCs/>
          <w:sz w:val="25"/>
          <w:szCs w:val="25"/>
        </w:rPr>
        <w:t xml:space="preserve"> на розв’язанні конкретних проблем розвитку та інтеграції, що вимагає від адміністрацій </w:t>
      </w:r>
      <w:proofErr w:type="spellStart"/>
      <w:r w:rsidRPr="0086108E">
        <w:rPr>
          <w:rFonts w:ascii="Times New Roman" w:hAnsi="Times New Roman" w:cs="Times New Roman"/>
          <w:bCs/>
          <w:sz w:val="25"/>
          <w:szCs w:val="25"/>
        </w:rPr>
        <w:t>країн-бенефіціарів</w:t>
      </w:r>
      <w:proofErr w:type="spellEnd"/>
      <w:r w:rsidRPr="0086108E">
        <w:rPr>
          <w:rFonts w:ascii="Times New Roman" w:hAnsi="Times New Roman" w:cs="Times New Roman"/>
          <w:bCs/>
          <w:sz w:val="25"/>
          <w:szCs w:val="25"/>
        </w:rPr>
        <w:t xml:space="preserve"> ініціативного підходу, самостійного визначення своїх потреб, підготовки і подання заявок, мобільності (від подання заявки on-</w:t>
      </w:r>
      <w:proofErr w:type="spellStart"/>
      <w:r w:rsidRPr="0086108E">
        <w:rPr>
          <w:rFonts w:ascii="Times New Roman" w:hAnsi="Times New Roman" w:cs="Times New Roman"/>
          <w:bCs/>
          <w:sz w:val="25"/>
          <w:szCs w:val="25"/>
        </w:rPr>
        <w:t>line</w:t>
      </w:r>
      <w:proofErr w:type="spellEnd"/>
      <w:r w:rsidRPr="0086108E">
        <w:rPr>
          <w:rFonts w:ascii="Times New Roman" w:hAnsi="Times New Roman" w:cs="Times New Roman"/>
          <w:bCs/>
          <w:sz w:val="25"/>
          <w:szCs w:val="25"/>
        </w:rPr>
        <w:t xml:space="preserve"> до надання допомоги проходить від двох до трьох місяців), що дає змогу використовувати його для вирішення термінових питань.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bCs/>
          <w:i/>
          <w:sz w:val="25"/>
          <w:szCs w:val="25"/>
        </w:rPr>
      </w:pPr>
      <w:r w:rsidRPr="0086108E">
        <w:rPr>
          <w:rFonts w:ascii="Times New Roman" w:hAnsi="Times New Roman" w:cs="Times New Roman"/>
          <w:bCs/>
          <w:sz w:val="25"/>
          <w:szCs w:val="25"/>
        </w:rPr>
        <w:t xml:space="preserve">Використання зовнішньої допомоги Європейської Комісії рамках інструменту TAIEX в Україні здійснюється відповідно до </w:t>
      </w:r>
      <w:r w:rsidRPr="0086108E">
        <w:rPr>
          <w:rFonts w:ascii="Times New Roman" w:hAnsi="Times New Roman" w:cs="Times New Roman"/>
          <w:bCs/>
          <w:i/>
          <w:sz w:val="25"/>
          <w:szCs w:val="25"/>
        </w:rPr>
        <w:t>Постанови Кабінету Міністрів України «Про затвердження Порядку підготовки, схвалення та виконання плану залучення зовнішньої допомоги Європейської Комісії у рамках TAIEX» від 13 січня 2016 року № 32.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b/>
          <w:bCs/>
          <w:sz w:val="25"/>
          <w:szCs w:val="25"/>
        </w:rPr>
        <w:t xml:space="preserve">Національне агентство України з питань державної служби </w:t>
      </w:r>
      <w:r w:rsidRPr="0086108E">
        <w:rPr>
          <w:rFonts w:ascii="Times New Roman" w:hAnsi="Times New Roman" w:cs="Times New Roman"/>
          <w:sz w:val="25"/>
          <w:szCs w:val="25"/>
        </w:rPr>
        <w:t>є координатором впровадження інструменту інституціональної розбудови TAIEX в Україні.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b/>
          <w:bCs/>
          <w:sz w:val="25"/>
          <w:szCs w:val="25"/>
        </w:rPr>
        <w:t>Інструмент TAIEX спрямований на:</w:t>
      </w:r>
    </w:p>
    <w:p w:rsidR="0086108E" w:rsidRPr="0086108E" w:rsidRDefault="0086108E" w:rsidP="0086108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sz w:val="25"/>
          <w:szCs w:val="25"/>
        </w:rPr>
        <w:t xml:space="preserve">наближення, імплементацію національного законодавства до </w:t>
      </w:r>
      <w:proofErr w:type="spellStart"/>
      <w:r w:rsidRPr="0086108E">
        <w:rPr>
          <w:rFonts w:ascii="Times New Roman" w:hAnsi="Times New Roman" w:cs="Times New Roman"/>
          <w:sz w:val="25"/>
          <w:szCs w:val="25"/>
        </w:rPr>
        <w:t>acquis</w:t>
      </w:r>
      <w:proofErr w:type="spellEnd"/>
      <w:r w:rsidRPr="0086108E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108E">
        <w:rPr>
          <w:rFonts w:ascii="Times New Roman" w:hAnsi="Times New Roman" w:cs="Times New Roman"/>
          <w:sz w:val="25"/>
          <w:szCs w:val="25"/>
        </w:rPr>
        <w:t>communautaire</w:t>
      </w:r>
      <w:proofErr w:type="spellEnd"/>
      <w:r w:rsidRPr="0086108E">
        <w:rPr>
          <w:rFonts w:ascii="Times New Roman" w:hAnsi="Times New Roman" w:cs="Times New Roman"/>
          <w:sz w:val="25"/>
          <w:szCs w:val="25"/>
        </w:rPr>
        <w:t>;</w:t>
      </w:r>
    </w:p>
    <w:p w:rsidR="0086108E" w:rsidRPr="0086108E" w:rsidRDefault="0086108E" w:rsidP="0086108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sz w:val="25"/>
          <w:szCs w:val="25"/>
        </w:rPr>
        <w:t>сприяння інституційному розвитку органів державної влади;</w:t>
      </w:r>
    </w:p>
    <w:p w:rsidR="0086108E" w:rsidRPr="0086108E" w:rsidRDefault="0086108E" w:rsidP="0086108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>підвищення кваліфікації державних службовців.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5"/>
          <w:szCs w:val="25"/>
        </w:rPr>
      </w:pP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5"/>
          <w:szCs w:val="25"/>
        </w:rPr>
      </w:pPr>
    </w:p>
    <w:p w:rsidR="0086108E" w:rsidRDefault="0086108E" w:rsidP="0086108E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5"/>
          <w:szCs w:val="25"/>
        </w:rPr>
      </w:pPr>
    </w:p>
    <w:p w:rsidR="0086108E" w:rsidRPr="00844734" w:rsidRDefault="0086108E" w:rsidP="0086108E">
      <w:p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  <w:r w:rsidRPr="00844734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>Основні цільові групи ТАІЕХ:</w:t>
      </w:r>
    </w:p>
    <w:p w:rsidR="0086108E" w:rsidRPr="0086108E" w:rsidRDefault="0086108E" w:rsidP="0086108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  <w:r w:rsidRPr="0086108E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державні службовці, що працюють у центральних органах виконавчої влади;</w:t>
      </w:r>
    </w:p>
    <w:p w:rsidR="0086108E" w:rsidRPr="0086108E" w:rsidRDefault="0086108E" w:rsidP="0086108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  <w:r w:rsidRPr="0086108E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державні службовці, що працюють в місцевих органах виконавчої влади та асоціаціях місцевих органів влади;</w:t>
      </w:r>
    </w:p>
    <w:p w:rsidR="0086108E" w:rsidRPr="0086108E" w:rsidRDefault="0086108E" w:rsidP="0086108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  <w:r w:rsidRPr="0086108E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органи юстиції та правоохоронні органи;</w:t>
      </w:r>
    </w:p>
    <w:p w:rsidR="0086108E" w:rsidRPr="0086108E" w:rsidRDefault="0086108E" w:rsidP="0086108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  <w:r w:rsidRPr="0086108E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члени законодавчих органів та державні службовці, що працюють у законодавчих органах та органах місцевого самоврядування;</w:t>
      </w:r>
    </w:p>
    <w:p w:rsidR="0086108E" w:rsidRPr="0086108E" w:rsidRDefault="0086108E" w:rsidP="0086108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  <w:r w:rsidRPr="0086108E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професійні та комерційні асоціації, що представляють соціальних партнерів, представники профспілок та спілок роботодавців.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 початку впровадження інструменту TAIEX в Україні (з 2006 року), станом на </w:t>
      </w:r>
      <w:r w:rsidR="00A129BB">
        <w:rPr>
          <w:rFonts w:ascii="Times New Roman" w:hAnsi="Times New Roman" w:cs="Times New Roman"/>
          <w:b/>
          <w:bCs/>
          <w:color w:val="000000" w:themeColor="text1"/>
        </w:rPr>
        <w:t>01</w:t>
      </w:r>
      <w:r w:rsidR="00663C3B" w:rsidRPr="00F06212">
        <w:rPr>
          <w:rFonts w:ascii="Times New Roman" w:hAnsi="Times New Roman" w:cs="Times New Roman"/>
          <w:b/>
          <w:bCs/>
          <w:color w:val="000000" w:themeColor="text1"/>
        </w:rPr>
        <w:t> </w:t>
      </w:r>
      <w:r w:rsidR="00A129BB">
        <w:rPr>
          <w:rFonts w:ascii="Times New Roman" w:hAnsi="Times New Roman" w:cs="Times New Roman"/>
          <w:b/>
          <w:bCs/>
          <w:color w:val="000000" w:themeColor="text1"/>
        </w:rPr>
        <w:t>листопада</w:t>
      </w:r>
      <w:r w:rsidR="00663C3B" w:rsidRPr="00F0621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94BB0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2019 </w:t>
      </w:r>
      <w:r w:rsidRPr="0086108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року, </w:t>
      </w:r>
      <w:r w:rsidR="00013850" w:rsidRPr="00013850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18</w:t>
      </w:r>
      <w:r w:rsidR="00013850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 xml:space="preserve"> </w:t>
      </w:r>
      <w:r w:rsidR="0041259F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929</w:t>
      </w:r>
      <w:r w:rsidR="00013850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 xml:space="preserve"> </w:t>
      </w:r>
      <w:r w:rsidRPr="0086108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представник</w:t>
      </w:r>
      <w:r w:rsidR="00BB72C8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ів</w:t>
      </w:r>
      <w:r w:rsidRPr="0086108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 </w:t>
      </w: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>органів державної влади взя</w:t>
      </w:r>
      <w:r w:rsidR="0041259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ли </w:t>
      </w: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участь у </w:t>
      </w:r>
      <w:r w:rsidR="0041259F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824</w:t>
      </w:r>
      <w:r w:rsidRPr="0086108E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 </w:t>
      </w:r>
      <w:r w:rsidRPr="0086108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заходах</w:t>
      </w: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організованих в рамках інструменту ТАІЕХ, серед яких </w:t>
      </w:r>
      <w:r w:rsidRPr="0086108E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1</w:t>
      </w:r>
      <w:r w:rsidR="00F44F76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52</w:t>
      </w:r>
      <w:r w:rsidRPr="0086108E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 </w:t>
      </w:r>
      <w:r w:rsidR="00F44F76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заходи</w:t>
      </w:r>
      <w:r w:rsidR="00014BA1" w:rsidRPr="00014BA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— за ініціативи Європейської Комісії, а </w:t>
      </w:r>
      <w:r w:rsidRPr="0086108E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6</w:t>
      </w:r>
      <w:r w:rsidR="00013850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7</w:t>
      </w:r>
      <w:r w:rsidR="0041259F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6</w:t>
      </w:r>
      <w:r w:rsidRPr="0086108E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 заход</w:t>
      </w:r>
      <w:r w:rsidR="00013850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ів</w:t>
      </w:r>
      <w:r w:rsidR="0023653B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 xml:space="preserve"> </w:t>
      </w: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>було ініційовано Україною.</w:t>
      </w:r>
    </w:p>
    <w:p w:rsidR="0086108E" w:rsidRPr="0086108E" w:rsidRDefault="007B6E4E" w:rsidP="008D530F">
      <w:pPr>
        <w:spacing w:after="120"/>
        <w:ind w:left="-567"/>
        <w:jc w:val="both"/>
        <w:rPr>
          <w:rFonts w:ascii="Times New Roman" w:hAnsi="Times New Roman" w:cs="Times New Roman"/>
          <w:b/>
          <w:color w:val="000000" w:themeColor="text1"/>
          <w:szCs w:val="25"/>
        </w:rPr>
      </w:pPr>
      <w:r>
        <w:rPr>
          <w:noProof/>
          <w:lang w:eastAsia="uk-UA"/>
        </w:rPr>
        <w:drawing>
          <wp:inline distT="0" distB="0" distL="0" distR="0" wp14:anchorId="5E3A9588" wp14:editId="2A34364D">
            <wp:extent cx="7291449" cy="3146961"/>
            <wp:effectExtent l="0" t="0" r="24130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  <w:lang w:val="ru-RU" w:eastAsia="ru-RU"/>
        </w:rPr>
        <w:t xml:space="preserve"> </w:t>
      </w:r>
      <w:r w:rsidR="000F5739" w:rsidRPr="008D530F">
        <w:rPr>
          <w:noProof/>
          <w:lang w:eastAsia="ru-RU"/>
        </w:rPr>
        <w:br/>
      </w:r>
      <w:r w:rsidR="0086108E" w:rsidRPr="0086108E">
        <w:rPr>
          <w:rFonts w:ascii="Times New Roman" w:hAnsi="Times New Roman" w:cs="Times New Roman"/>
          <w:b/>
          <w:color w:val="000000" w:themeColor="text1"/>
          <w:szCs w:val="25"/>
        </w:rPr>
        <w:t>Рис. 1. Огляд заходів TAIEX в Україні за формою (2006 </w:t>
      </w:r>
      <w:r w:rsidR="0086108E" w:rsidRPr="00F06212">
        <w:rPr>
          <w:rFonts w:ascii="Times New Roman" w:hAnsi="Times New Roman" w:cs="Times New Roman"/>
          <w:b/>
          <w:color w:val="000000" w:themeColor="text1"/>
        </w:rPr>
        <w:t xml:space="preserve">– </w:t>
      </w:r>
      <w:r w:rsidR="00A129BB">
        <w:rPr>
          <w:rFonts w:ascii="Times New Roman" w:hAnsi="Times New Roman" w:cs="Times New Roman"/>
          <w:b/>
          <w:bCs/>
          <w:color w:val="000000" w:themeColor="text1"/>
        </w:rPr>
        <w:t>01</w:t>
      </w:r>
      <w:r w:rsidR="00A129BB" w:rsidRPr="00F06212">
        <w:rPr>
          <w:rFonts w:ascii="Times New Roman" w:hAnsi="Times New Roman" w:cs="Times New Roman"/>
          <w:b/>
          <w:bCs/>
          <w:color w:val="000000" w:themeColor="text1"/>
        </w:rPr>
        <w:t> </w:t>
      </w:r>
      <w:r w:rsidR="00A129BB">
        <w:rPr>
          <w:rFonts w:ascii="Times New Roman" w:hAnsi="Times New Roman" w:cs="Times New Roman"/>
          <w:b/>
          <w:bCs/>
          <w:color w:val="000000" w:themeColor="text1"/>
        </w:rPr>
        <w:t>листопада</w:t>
      </w:r>
      <w:r w:rsidR="00A129BB" w:rsidRPr="00F0621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129BB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2019 </w:t>
      </w:r>
      <w:r w:rsidR="00A129BB" w:rsidRPr="0086108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року</w:t>
      </w:r>
      <w:r w:rsidR="0086108E" w:rsidRPr="00F06212">
        <w:rPr>
          <w:rFonts w:ascii="Times New Roman" w:hAnsi="Times New Roman" w:cs="Times New Roman"/>
          <w:b/>
          <w:color w:val="000000" w:themeColor="text1"/>
        </w:rPr>
        <w:t>)</w:t>
      </w:r>
    </w:p>
    <w:p w:rsidR="00F44F76" w:rsidRDefault="00F44F76" w:rsidP="0086108E">
      <w:pPr>
        <w:spacing w:after="1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E81A50" w:rsidRPr="00E81A50" w:rsidRDefault="0086108E" w:rsidP="00E81A50">
      <w:pPr>
        <w:spacing w:after="1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 </w:t>
      </w:r>
      <w:r w:rsidRPr="0086108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2019 році</w:t>
      </w: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86108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 </w:t>
      </w:r>
      <w:r w:rsidR="00B75265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863</w:t>
      </w:r>
      <w:r w:rsidR="00F44F76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 представник</w:t>
      </w:r>
      <w:r w:rsidR="00B75265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и</w:t>
      </w:r>
      <w:r w:rsidRPr="0086108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 </w:t>
      </w: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>органів державної влади взяли участь у</w:t>
      </w:r>
      <w:r w:rsidRPr="0086108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 </w:t>
      </w:r>
      <w:r w:rsidR="00B75265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32 </w:t>
      </w:r>
      <w:r w:rsidR="00F44F76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заходах</w:t>
      </w: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які були ініційовані Україною, серед яких </w:t>
      </w:r>
      <w:r w:rsidRPr="0086108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1</w:t>
      </w:r>
      <w:r w:rsidR="00B75265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5</w:t>
      </w:r>
      <w:r w:rsidRPr="0086108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 семінарів</w:t>
      </w: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0F5739" w:rsidRPr="000F5739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 </w:t>
      </w:r>
      <w:r w:rsidR="002A65D6" w:rsidRPr="00D245DB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7</w:t>
      </w:r>
      <w:r w:rsidR="000F5739">
        <w:rPr>
          <w:rFonts w:ascii="Times New Roman" w:hAnsi="Times New Roman" w:cs="Times New Roman"/>
          <w:i/>
          <w:color w:val="000000" w:themeColor="text1"/>
          <w:sz w:val="25"/>
          <w:szCs w:val="25"/>
          <w:lang w:val="ru-RU"/>
        </w:rPr>
        <w:t> </w:t>
      </w:r>
      <w:r w:rsidRPr="0086108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навчальних поїздки</w:t>
      </w: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до країн-членів ЄС та </w:t>
      </w:r>
      <w:r w:rsidR="00B75265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10 </w:t>
      </w:r>
      <w:r w:rsidR="0023653B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експертних місій</w:t>
      </w: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до України. </w:t>
      </w:r>
      <w:r w:rsidR="00E81A50" w:rsidRPr="00E81A5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Водночас </w:t>
      </w:r>
      <w:r w:rsidR="00E81A50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1</w:t>
      </w:r>
      <w:r w:rsidR="00D56B38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3</w:t>
      </w:r>
      <w:r w:rsidR="00E81A50" w:rsidRPr="00E81A50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 представників</w:t>
      </w:r>
      <w:r w:rsidR="00E81A50" w:rsidRPr="00E81A5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органів державної влади взяли участь у </w:t>
      </w:r>
      <w:r w:rsidR="00E81A50" w:rsidRPr="00E81A50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 </w:t>
      </w:r>
      <w:r w:rsidR="00F11509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щорічному засіданні</w:t>
      </w:r>
      <w:r w:rsidR="00F11509" w:rsidRPr="00F11509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 національних контактних осіб з впровадження інструментів інституційної розбудови </w:t>
      </w:r>
      <w:proofErr w:type="spellStart"/>
      <w:r w:rsidR="00F11509" w:rsidRPr="00F11509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Twinning</w:t>
      </w:r>
      <w:proofErr w:type="spellEnd"/>
      <w:r w:rsidR="00F11509" w:rsidRPr="00F11509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, TAIEX та програми SIGMA “Дні інституційної розбудови – 2019”</w:t>
      </w:r>
      <w:r w:rsidR="00F11509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,</w:t>
      </w:r>
      <w:r w:rsidR="00D56B38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 </w:t>
      </w:r>
      <w:r w:rsidR="00F11509" w:rsidRPr="00F11509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робоч</w:t>
      </w:r>
      <w:r w:rsidR="00F11509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ій</w:t>
      </w:r>
      <w:r w:rsidR="00F11509" w:rsidRPr="00F11509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 зустріч</w:t>
      </w:r>
      <w:r w:rsidR="00F11509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і</w:t>
      </w:r>
      <w:r w:rsidR="00F11509" w:rsidRPr="00F11509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 з питань </w:t>
      </w:r>
      <w:proofErr w:type="spellStart"/>
      <w:r w:rsidR="00F11509" w:rsidRPr="00F11509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Twinning</w:t>
      </w:r>
      <w:proofErr w:type="spellEnd"/>
      <w:r w:rsidR="00F11509" w:rsidRPr="00F11509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 </w:t>
      </w:r>
      <w:r w:rsidR="00F11509" w:rsidRPr="00C563C0">
        <w:rPr>
          <w:rFonts w:ascii="Times New Roman" w:hAnsi="Times New Roman" w:cs="Times New Roman"/>
          <w:color w:val="000000" w:themeColor="text1"/>
          <w:sz w:val="25"/>
          <w:szCs w:val="25"/>
        </w:rPr>
        <w:t>в м.</w:t>
      </w:r>
      <w:r w:rsidR="00B7526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F11509" w:rsidRPr="00C563C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Брюссель, </w:t>
      </w:r>
      <w:r w:rsidR="00D56B38" w:rsidRPr="00C563C0">
        <w:rPr>
          <w:rFonts w:ascii="Times New Roman" w:hAnsi="Times New Roman" w:cs="Times New Roman"/>
          <w:color w:val="000000" w:themeColor="text1"/>
          <w:sz w:val="25"/>
          <w:szCs w:val="25"/>
        </w:rPr>
        <w:t>Королівство Бельгія</w:t>
      </w:r>
      <w:r w:rsidR="00D56B38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 </w:t>
      </w:r>
      <w:r w:rsidR="00E81A50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та </w:t>
      </w:r>
      <w:r w:rsidR="00E81A50" w:rsidRPr="00F11509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4 </w:t>
      </w:r>
      <w:r w:rsidR="00E81A50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міжнародних семінарах</w:t>
      </w:r>
      <w:r w:rsidR="00E81A50">
        <w:rPr>
          <w:rFonts w:ascii="Times New Roman" w:hAnsi="Times New Roman" w:cs="Times New Roman"/>
          <w:color w:val="000000" w:themeColor="text1"/>
          <w:sz w:val="25"/>
          <w:szCs w:val="25"/>
        </w:rPr>
        <w:t>, ініційованих</w:t>
      </w:r>
      <w:r w:rsidR="00E81A50" w:rsidRPr="00E81A5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Європейською Комісією у рамках інструменту TAIEX.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</w:p>
    <w:p w:rsidR="0086108E" w:rsidRPr="0086108E" w:rsidRDefault="00482E07" w:rsidP="000773B5">
      <w:pPr>
        <w:spacing w:after="120"/>
        <w:ind w:left="-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noProof/>
          <w:lang w:eastAsia="uk-UA"/>
        </w:rPr>
        <w:lastRenderedPageBreak/>
        <w:drawing>
          <wp:inline distT="0" distB="0" distL="0" distR="0" wp14:anchorId="05846147" wp14:editId="13674401">
            <wp:extent cx="7279574" cy="2861954"/>
            <wp:effectExtent l="0" t="0" r="17145" b="146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C563C0">
        <w:rPr>
          <w:noProof/>
          <w:lang w:eastAsia="ru-RU"/>
        </w:rPr>
        <w:t xml:space="preserve"> </w:t>
      </w:r>
      <w:r w:rsidR="00F81C7B" w:rsidRPr="00993925">
        <w:rPr>
          <w:noProof/>
          <w:lang w:eastAsia="ru-RU"/>
        </w:rPr>
        <w:t xml:space="preserve"> </w:t>
      </w:r>
    </w:p>
    <w:p w:rsidR="0086108E" w:rsidRPr="00F06212" w:rsidRDefault="0086108E" w:rsidP="0086108E">
      <w:pPr>
        <w:spacing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86108E">
        <w:rPr>
          <w:rFonts w:ascii="Times New Roman" w:hAnsi="Times New Roman" w:cs="Times New Roman"/>
          <w:b/>
          <w:color w:val="000000" w:themeColor="text1"/>
          <w:szCs w:val="25"/>
        </w:rPr>
        <w:t xml:space="preserve">Рис. 2. Огляд заходів TAIEX в Україні за ініціатором (2006 – </w:t>
      </w:r>
      <w:r w:rsidR="003C748B">
        <w:rPr>
          <w:rFonts w:ascii="Times New Roman" w:hAnsi="Times New Roman" w:cs="Times New Roman"/>
          <w:b/>
          <w:bCs/>
          <w:color w:val="000000" w:themeColor="text1"/>
        </w:rPr>
        <w:t>01</w:t>
      </w:r>
      <w:r w:rsidR="003C748B" w:rsidRPr="00F06212">
        <w:rPr>
          <w:rFonts w:ascii="Times New Roman" w:hAnsi="Times New Roman" w:cs="Times New Roman"/>
          <w:b/>
          <w:bCs/>
          <w:color w:val="000000" w:themeColor="text1"/>
        </w:rPr>
        <w:t> </w:t>
      </w:r>
      <w:r w:rsidR="003C748B">
        <w:rPr>
          <w:rFonts w:ascii="Times New Roman" w:hAnsi="Times New Roman" w:cs="Times New Roman"/>
          <w:b/>
          <w:bCs/>
          <w:color w:val="000000" w:themeColor="text1"/>
        </w:rPr>
        <w:t>листопада</w:t>
      </w:r>
      <w:r w:rsidR="003C748B" w:rsidRPr="00F0621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C748B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2019 </w:t>
      </w:r>
      <w:r w:rsidR="003C748B" w:rsidRPr="0086108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року</w:t>
      </w:r>
      <w:r w:rsidRPr="00F06212">
        <w:rPr>
          <w:rFonts w:ascii="Times New Roman" w:hAnsi="Times New Roman" w:cs="Times New Roman"/>
          <w:b/>
          <w:color w:val="000000" w:themeColor="text1"/>
        </w:rPr>
        <w:t>)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b/>
          <w:bCs/>
          <w:sz w:val="8"/>
          <w:szCs w:val="25"/>
        </w:rPr>
      </w:pP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b/>
          <w:bCs/>
          <w:sz w:val="25"/>
          <w:szCs w:val="25"/>
        </w:rPr>
        <w:t>Упродовж зазначеного періоду (2006–2019) заходи TAIEX проводились у таких сферах:</w:t>
      </w:r>
    </w:p>
    <w:p w:rsidR="0086108E" w:rsidRPr="0086108E" w:rsidRDefault="0086108E" w:rsidP="0086108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sz w:val="25"/>
          <w:szCs w:val="25"/>
        </w:rPr>
        <w:t>юстиція та внутрішні справи (20</w:t>
      </w:r>
      <w:r w:rsidR="00E452DF">
        <w:rPr>
          <w:rFonts w:ascii="Times New Roman" w:hAnsi="Times New Roman" w:cs="Times New Roman"/>
          <w:sz w:val="25"/>
          <w:szCs w:val="25"/>
          <w:lang w:val="ru-RU"/>
        </w:rPr>
        <w:t>5</w:t>
      </w:r>
      <w:r w:rsidR="00E452DF">
        <w:rPr>
          <w:rFonts w:ascii="Times New Roman" w:hAnsi="Times New Roman" w:cs="Times New Roman"/>
          <w:sz w:val="25"/>
          <w:szCs w:val="25"/>
        </w:rPr>
        <w:t> захо</w:t>
      </w:r>
      <w:r w:rsidR="008E0F37">
        <w:rPr>
          <w:rFonts w:ascii="Times New Roman" w:hAnsi="Times New Roman" w:cs="Times New Roman"/>
          <w:sz w:val="25"/>
          <w:szCs w:val="25"/>
        </w:rPr>
        <w:t>д</w:t>
      </w:r>
      <w:r w:rsidR="00E452DF">
        <w:rPr>
          <w:rFonts w:ascii="Times New Roman" w:hAnsi="Times New Roman" w:cs="Times New Roman"/>
          <w:sz w:val="25"/>
          <w:szCs w:val="25"/>
        </w:rPr>
        <w:t>ів</w:t>
      </w:r>
      <w:r w:rsidRPr="0086108E">
        <w:rPr>
          <w:rFonts w:ascii="Times New Roman" w:hAnsi="Times New Roman" w:cs="Times New Roman"/>
          <w:sz w:val="25"/>
          <w:szCs w:val="25"/>
        </w:rPr>
        <w:t xml:space="preserve">, з них у 2019 році – </w:t>
      </w:r>
      <w:r w:rsidR="00E452DF">
        <w:rPr>
          <w:rFonts w:ascii="Times New Roman" w:hAnsi="Times New Roman" w:cs="Times New Roman"/>
          <w:sz w:val="25"/>
          <w:szCs w:val="25"/>
        </w:rPr>
        <w:t>10</w:t>
      </w:r>
      <w:r w:rsidRPr="0086108E">
        <w:rPr>
          <w:rFonts w:ascii="Times New Roman" w:hAnsi="Times New Roman" w:cs="Times New Roman"/>
          <w:sz w:val="25"/>
          <w:szCs w:val="25"/>
        </w:rPr>
        <w:t> заходів);</w:t>
      </w:r>
    </w:p>
    <w:p w:rsidR="0086108E" w:rsidRPr="0086108E" w:rsidRDefault="0086108E" w:rsidP="0086108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sz w:val="25"/>
          <w:szCs w:val="25"/>
        </w:rPr>
        <w:t>внутрішній ринок (3</w:t>
      </w:r>
      <w:r w:rsidR="008E0F37">
        <w:rPr>
          <w:rFonts w:ascii="Times New Roman" w:hAnsi="Times New Roman" w:cs="Times New Roman"/>
          <w:sz w:val="25"/>
          <w:szCs w:val="25"/>
        </w:rPr>
        <w:t>6</w:t>
      </w:r>
      <w:r w:rsidR="00E452DF">
        <w:rPr>
          <w:rFonts w:ascii="Times New Roman" w:hAnsi="Times New Roman" w:cs="Times New Roman"/>
          <w:sz w:val="25"/>
          <w:szCs w:val="25"/>
          <w:lang w:val="ru-RU"/>
        </w:rPr>
        <w:t>7</w:t>
      </w:r>
      <w:r w:rsidR="002873D4">
        <w:rPr>
          <w:rFonts w:ascii="Times New Roman" w:hAnsi="Times New Roman" w:cs="Times New Roman"/>
          <w:sz w:val="25"/>
          <w:szCs w:val="25"/>
        </w:rPr>
        <w:t> заход</w:t>
      </w:r>
      <w:r w:rsidR="00E452DF">
        <w:rPr>
          <w:rFonts w:ascii="Times New Roman" w:hAnsi="Times New Roman" w:cs="Times New Roman"/>
          <w:sz w:val="25"/>
          <w:szCs w:val="25"/>
        </w:rPr>
        <w:t>ів</w:t>
      </w:r>
      <w:r w:rsidRPr="0086108E">
        <w:rPr>
          <w:rFonts w:ascii="Times New Roman" w:hAnsi="Times New Roman" w:cs="Times New Roman"/>
          <w:sz w:val="25"/>
          <w:szCs w:val="25"/>
        </w:rPr>
        <w:t xml:space="preserve">, з них у 2019 році – </w:t>
      </w:r>
      <w:r w:rsidR="002873D4">
        <w:rPr>
          <w:rFonts w:ascii="Times New Roman" w:hAnsi="Times New Roman" w:cs="Times New Roman"/>
          <w:sz w:val="25"/>
          <w:szCs w:val="25"/>
        </w:rPr>
        <w:t>1</w:t>
      </w:r>
      <w:r w:rsidR="00E452DF">
        <w:rPr>
          <w:rFonts w:ascii="Times New Roman" w:hAnsi="Times New Roman" w:cs="Times New Roman"/>
          <w:sz w:val="25"/>
          <w:szCs w:val="25"/>
        </w:rPr>
        <w:t>4</w:t>
      </w:r>
      <w:r w:rsidRPr="0086108E">
        <w:rPr>
          <w:rFonts w:ascii="Times New Roman" w:hAnsi="Times New Roman" w:cs="Times New Roman"/>
          <w:sz w:val="25"/>
          <w:szCs w:val="25"/>
        </w:rPr>
        <w:t> заходів);</w:t>
      </w:r>
    </w:p>
    <w:p w:rsidR="0086108E" w:rsidRPr="0086108E" w:rsidRDefault="00E452DF" w:rsidP="0086108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довкілля</w:t>
      </w:r>
      <w:r w:rsidR="0086108E" w:rsidRPr="0086108E">
        <w:rPr>
          <w:rFonts w:ascii="Times New Roman" w:hAnsi="Times New Roman" w:cs="Times New Roman"/>
          <w:sz w:val="25"/>
          <w:szCs w:val="25"/>
        </w:rPr>
        <w:t>, телекомунікації та транспорт (15</w:t>
      </w:r>
      <w:r>
        <w:rPr>
          <w:rFonts w:ascii="Times New Roman" w:hAnsi="Times New Roman" w:cs="Times New Roman"/>
          <w:sz w:val="25"/>
          <w:szCs w:val="25"/>
        </w:rPr>
        <w:t>5</w:t>
      </w:r>
      <w:r w:rsidR="0086108E" w:rsidRPr="0086108E">
        <w:rPr>
          <w:rFonts w:ascii="Times New Roman" w:hAnsi="Times New Roman" w:cs="Times New Roman"/>
          <w:sz w:val="25"/>
          <w:szCs w:val="25"/>
        </w:rPr>
        <w:t> </w:t>
      </w:r>
      <w:r>
        <w:rPr>
          <w:rFonts w:ascii="Times New Roman" w:hAnsi="Times New Roman" w:cs="Times New Roman"/>
          <w:sz w:val="25"/>
          <w:szCs w:val="25"/>
        </w:rPr>
        <w:t>заходів</w:t>
      </w:r>
      <w:r w:rsidR="0086108E" w:rsidRPr="0086108E">
        <w:rPr>
          <w:rFonts w:ascii="Times New Roman" w:hAnsi="Times New Roman" w:cs="Times New Roman"/>
          <w:sz w:val="25"/>
          <w:szCs w:val="25"/>
        </w:rPr>
        <w:t xml:space="preserve">, з них у 2019 році – </w:t>
      </w:r>
      <w:r>
        <w:rPr>
          <w:rFonts w:ascii="Times New Roman" w:hAnsi="Times New Roman" w:cs="Times New Roman"/>
          <w:sz w:val="25"/>
          <w:szCs w:val="25"/>
        </w:rPr>
        <w:t>9</w:t>
      </w:r>
      <w:r w:rsidR="0086108E" w:rsidRPr="0086108E">
        <w:rPr>
          <w:rFonts w:ascii="Times New Roman" w:hAnsi="Times New Roman" w:cs="Times New Roman"/>
          <w:sz w:val="25"/>
          <w:szCs w:val="25"/>
        </w:rPr>
        <w:t> заход</w:t>
      </w:r>
      <w:r w:rsidR="008E0F37">
        <w:rPr>
          <w:rFonts w:ascii="Times New Roman" w:hAnsi="Times New Roman" w:cs="Times New Roman"/>
          <w:sz w:val="25"/>
          <w:szCs w:val="25"/>
        </w:rPr>
        <w:t>ів)</w:t>
      </w:r>
      <w:r w:rsidR="0086108E" w:rsidRPr="0086108E">
        <w:rPr>
          <w:rFonts w:ascii="Times New Roman" w:hAnsi="Times New Roman" w:cs="Times New Roman"/>
          <w:sz w:val="25"/>
          <w:szCs w:val="25"/>
        </w:rPr>
        <w:t>;</w:t>
      </w:r>
    </w:p>
    <w:p w:rsidR="0086108E" w:rsidRDefault="0086108E" w:rsidP="0086108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sz w:val="25"/>
          <w:szCs w:val="25"/>
        </w:rPr>
        <w:t>сільське господарство т</w:t>
      </w:r>
      <w:r w:rsidR="008E0F37">
        <w:rPr>
          <w:rFonts w:ascii="Times New Roman" w:hAnsi="Times New Roman" w:cs="Times New Roman"/>
          <w:sz w:val="25"/>
          <w:szCs w:val="25"/>
        </w:rPr>
        <w:t>а безпека харчових продуктів (99 заходів, з них у 2019 році – 3</w:t>
      </w:r>
      <w:r w:rsidRPr="0086108E">
        <w:rPr>
          <w:rFonts w:ascii="Times New Roman" w:hAnsi="Times New Roman" w:cs="Times New Roman"/>
          <w:sz w:val="25"/>
          <w:szCs w:val="25"/>
        </w:rPr>
        <w:t> заходи).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7D53112B" wp14:editId="76C69E12">
            <wp:extent cx="6152515" cy="3067685"/>
            <wp:effectExtent l="0" t="0" r="19685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7619" w:rsidRPr="00C57619" w:rsidRDefault="00C57619" w:rsidP="00C57619">
      <w:pPr>
        <w:spacing w:after="12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57619">
        <w:rPr>
          <w:rFonts w:ascii="Times New Roman" w:hAnsi="Times New Roman" w:cs="Times New Roman"/>
          <w:b/>
          <w:sz w:val="25"/>
          <w:szCs w:val="25"/>
        </w:rPr>
        <w:t xml:space="preserve">Рис. 3. Огляд заходів TAIEX в Україні за сферами (2006 – </w:t>
      </w:r>
      <w:r w:rsidR="00B75265">
        <w:rPr>
          <w:rFonts w:ascii="Times New Roman" w:hAnsi="Times New Roman" w:cs="Times New Roman"/>
          <w:b/>
          <w:bCs/>
          <w:color w:val="000000" w:themeColor="text1"/>
        </w:rPr>
        <w:t>22</w:t>
      </w:r>
      <w:r w:rsidR="00B75265" w:rsidRPr="00F06212">
        <w:rPr>
          <w:rFonts w:ascii="Times New Roman" w:hAnsi="Times New Roman" w:cs="Times New Roman"/>
          <w:b/>
          <w:bCs/>
          <w:color w:val="000000" w:themeColor="text1"/>
        </w:rPr>
        <w:t> </w:t>
      </w:r>
      <w:r w:rsidR="00B75265">
        <w:rPr>
          <w:rFonts w:ascii="Times New Roman" w:hAnsi="Times New Roman" w:cs="Times New Roman"/>
          <w:b/>
          <w:bCs/>
          <w:color w:val="000000" w:themeColor="text1"/>
        </w:rPr>
        <w:t>жовтня</w:t>
      </w:r>
      <w:r w:rsidR="00B75265" w:rsidRPr="00F0621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7526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2019 року</w:t>
      </w:r>
      <w:r w:rsidRPr="00C57619">
        <w:rPr>
          <w:rFonts w:ascii="Times New Roman" w:hAnsi="Times New Roman" w:cs="Times New Roman"/>
          <w:b/>
          <w:sz w:val="25"/>
          <w:szCs w:val="25"/>
        </w:rPr>
        <w:t>)</w:t>
      </w:r>
    </w:p>
    <w:p w:rsidR="0086108E" w:rsidRPr="0086108E" w:rsidRDefault="0086108E" w:rsidP="0086108E">
      <w:pPr>
        <w:spacing w:after="120"/>
        <w:rPr>
          <w:rFonts w:ascii="Times New Roman" w:hAnsi="Times New Roman" w:cs="Times New Roman"/>
          <w:b/>
          <w:color w:val="000000" w:themeColor="text1"/>
          <w:szCs w:val="25"/>
        </w:rPr>
      </w:pPr>
      <w:bookmarkStart w:id="0" w:name="_GoBack"/>
      <w:bookmarkEnd w:id="0"/>
    </w:p>
    <w:p w:rsidR="0086108E" w:rsidRPr="0086108E" w:rsidRDefault="0086108E" w:rsidP="0086108E">
      <w:pPr>
        <w:rPr>
          <w:rFonts w:ascii="Times New Roman" w:hAnsi="Times New Roman" w:cs="Times New Roman"/>
        </w:rPr>
      </w:pPr>
    </w:p>
    <w:p w:rsidR="006F1A4E" w:rsidRPr="0086108E" w:rsidRDefault="006F1A4E">
      <w:pPr>
        <w:rPr>
          <w:rFonts w:ascii="Times New Roman" w:hAnsi="Times New Roman" w:cs="Times New Roman"/>
        </w:rPr>
      </w:pPr>
    </w:p>
    <w:sectPr w:rsidR="006F1A4E" w:rsidRPr="0086108E" w:rsidSect="0086108E">
      <w:pgSz w:w="11906" w:h="16838"/>
      <w:pgMar w:top="426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2E7"/>
    <w:multiLevelType w:val="hybridMultilevel"/>
    <w:tmpl w:val="14B268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52A4C"/>
    <w:multiLevelType w:val="hybridMultilevel"/>
    <w:tmpl w:val="A5121F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665A4"/>
    <w:multiLevelType w:val="multilevel"/>
    <w:tmpl w:val="3A7E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C6"/>
    <w:rsid w:val="00013850"/>
    <w:rsid w:val="00014BA1"/>
    <w:rsid w:val="000773B5"/>
    <w:rsid w:val="00087B95"/>
    <w:rsid w:val="00094BB0"/>
    <w:rsid w:val="000D4608"/>
    <w:rsid w:val="000D564C"/>
    <w:rsid w:val="000F5739"/>
    <w:rsid w:val="0023653B"/>
    <w:rsid w:val="00254EDA"/>
    <w:rsid w:val="002873D4"/>
    <w:rsid w:val="002A65D6"/>
    <w:rsid w:val="003B6FB2"/>
    <w:rsid w:val="003C748B"/>
    <w:rsid w:val="0041259F"/>
    <w:rsid w:val="00453E4B"/>
    <w:rsid w:val="00482E07"/>
    <w:rsid w:val="004912B1"/>
    <w:rsid w:val="00574646"/>
    <w:rsid w:val="00581EFD"/>
    <w:rsid w:val="005A7472"/>
    <w:rsid w:val="005B4A3E"/>
    <w:rsid w:val="00632A73"/>
    <w:rsid w:val="00663C3B"/>
    <w:rsid w:val="006C4937"/>
    <w:rsid w:val="006F1A4E"/>
    <w:rsid w:val="007B6E4E"/>
    <w:rsid w:val="00844734"/>
    <w:rsid w:val="0086108E"/>
    <w:rsid w:val="008D530F"/>
    <w:rsid w:val="008E0F37"/>
    <w:rsid w:val="00993925"/>
    <w:rsid w:val="009C3415"/>
    <w:rsid w:val="00A01ABA"/>
    <w:rsid w:val="00A129BB"/>
    <w:rsid w:val="00A93EB2"/>
    <w:rsid w:val="00A954C8"/>
    <w:rsid w:val="00AA0AB8"/>
    <w:rsid w:val="00B469A9"/>
    <w:rsid w:val="00B75265"/>
    <w:rsid w:val="00BB72C8"/>
    <w:rsid w:val="00BB7B6F"/>
    <w:rsid w:val="00BD26A3"/>
    <w:rsid w:val="00BF7C2F"/>
    <w:rsid w:val="00C563C0"/>
    <w:rsid w:val="00C57619"/>
    <w:rsid w:val="00D245DB"/>
    <w:rsid w:val="00D56B38"/>
    <w:rsid w:val="00D97A6B"/>
    <w:rsid w:val="00DB37B2"/>
    <w:rsid w:val="00DB7D2A"/>
    <w:rsid w:val="00E2638F"/>
    <w:rsid w:val="00E452DF"/>
    <w:rsid w:val="00E81A50"/>
    <w:rsid w:val="00E92F8B"/>
    <w:rsid w:val="00F03578"/>
    <w:rsid w:val="00F06212"/>
    <w:rsid w:val="00F11509"/>
    <w:rsid w:val="00F44F76"/>
    <w:rsid w:val="00F81C7B"/>
    <w:rsid w:val="00FB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8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0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8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0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ell-store\PAO\&#1057;&#1077;&#1082;&#1090;&#1086;&#1088;%20&#1082;&#1086;&#1086;&#1088;&#1076;&#1080;&#1085;&#1072;&#1094;&#1110;&#1111;%20TAIEX\TAIEX%202015-2019\4.%20&#1043;&#1088;&#1072;&#1092;&#1110;&#1082;&#1080;%20&#1058;&#1040;&#1030;&#1045;&#1061;\ukr\2019\&#1047;&#1072;&#1093;&#1086;&#1076;&#1080;%20&#1079;&#1072;%20&#1092;&#1086;&#1088;&#1084;&#1086;&#1102;%202006-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ell-store\PAO\&#1057;&#1077;&#1082;&#1090;&#1086;&#1088;%20&#1082;&#1086;&#1086;&#1088;&#1076;&#1080;&#1085;&#1072;&#1094;&#1110;&#1111;%20TAIEX\TAIEX%202015-2019\4.%20&#1043;&#1088;&#1072;&#1092;&#1110;&#1082;&#1080;%20&#1058;&#1040;&#1030;&#1045;&#1061;\ukr\2019\&#1055;&#1088;&#1086;&#1074;&#1077;&#1076;&#1077;&#1085;&#1110;%20&#1079;&#1072;&#1093;&#1086;&#1076;&#1080;%20TAIEX%202006-2019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dell-store\PAO\&#1057;&#1077;&#1082;&#1090;&#1086;&#1088;%20&#1082;&#1086;&#1086;&#1088;&#1076;&#1080;&#1085;&#1072;&#1094;&#1110;&#1111;%20TAIEX\TAIEX%202015-2019\4.%20&#1043;&#1088;&#1072;&#1092;&#1110;&#1082;&#1080;%20&#1058;&#1040;&#1030;&#1045;&#1061;%20(18%20&#1075;&#1088;&#1091;&#1076;&#1085;&#1103;%202018)\ukr\&#1047;&#1072;&#1093;&#1086;&#1076;&#1080;%20TAIEX%20&#1079;&#1072;%20&#1089;&#1077;&#1082;&#1090;&#1086;&#1088;&#1072;&#1084;&#1080;%202006%20-2019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2.5938376676299914E-2"/>
          <c:y val="2.5962832048534203E-2"/>
          <c:w val="0.83589031050813412"/>
          <c:h val="0.822906348719059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навчальна поїздка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cat>
            <c:strRef>
              <c:f>Лист1!$A$4:$A$16</c:f>
              <c:strCache>
                <c:ptCount val="1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станом на 01.11.2019  </c:v>
                </c:pt>
              </c:strCache>
            </c:strRef>
          </c:cat>
          <c:val>
            <c:numRef>
              <c:f>Лист1!$B$4:$B$16</c:f>
              <c:numCache>
                <c:formatCode>General</c:formatCode>
                <c:ptCount val="13"/>
                <c:pt idx="0">
                  <c:v>4</c:v>
                </c:pt>
                <c:pt idx="1">
                  <c:v>4</c:v>
                </c:pt>
                <c:pt idx="2">
                  <c:v>8</c:v>
                </c:pt>
                <c:pt idx="3">
                  <c:v>16</c:v>
                </c:pt>
                <c:pt idx="4">
                  <c:v>25</c:v>
                </c:pt>
                <c:pt idx="5">
                  <c:v>22</c:v>
                </c:pt>
                <c:pt idx="6">
                  <c:v>21</c:v>
                </c:pt>
                <c:pt idx="7">
                  <c:v>28</c:v>
                </c:pt>
                <c:pt idx="8">
                  <c:v>28</c:v>
                </c:pt>
                <c:pt idx="9">
                  <c:v>27</c:v>
                </c:pt>
                <c:pt idx="10">
                  <c:v>14</c:v>
                </c:pt>
                <c:pt idx="11">
                  <c:v>21</c:v>
                </c:pt>
                <c:pt idx="1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експертна місія</c:v>
                </c:pt>
              </c:strCache>
            </c:strRef>
          </c:tx>
          <c:invertIfNegative val="0"/>
          <c:cat>
            <c:strRef>
              <c:f>Лист1!$A$4:$A$16</c:f>
              <c:strCache>
                <c:ptCount val="1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станом на 01.11.2019  </c:v>
                </c:pt>
              </c:strCache>
            </c:strRef>
          </c:cat>
          <c:val>
            <c:numRef>
              <c:f>Лист1!$C$4:$C$16</c:f>
              <c:numCache>
                <c:formatCode>General</c:formatCode>
                <c:ptCount val="13"/>
                <c:pt idx="0">
                  <c:v>3</c:v>
                </c:pt>
                <c:pt idx="1">
                  <c:v>4</c:v>
                </c:pt>
                <c:pt idx="2">
                  <c:v>7</c:v>
                </c:pt>
                <c:pt idx="3">
                  <c:v>14</c:v>
                </c:pt>
                <c:pt idx="4">
                  <c:v>17</c:v>
                </c:pt>
                <c:pt idx="5">
                  <c:v>14</c:v>
                </c:pt>
                <c:pt idx="6">
                  <c:v>6</c:v>
                </c:pt>
                <c:pt idx="7">
                  <c:v>10</c:v>
                </c:pt>
                <c:pt idx="8">
                  <c:v>40</c:v>
                </c:pt>
                <c:pt idx="9">
                  <c:v>23</c:v>
                </c:pt>
                <c:pt idx="10">
                  <c:v>13</c:v>
                </c:pt>
                <c:pt idx="11">
                  <c:v>18</c:v>
                </c:pt>
                <c:pt idx="1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семінар</c:v>
                </c:pt>
              </c:strCache>
            </c:strRef>
          </c:tx>
          <c:spPr>
            <a:pattFill prst="dkDnDiag">
              <a:fgClr>
                <a:schemeClr val="tx2"/>
              </a:fgClr>
              <a:bgClr>
                <a:schemeClr val="bg1"/>
              </a:bgClr>
            </a:pattFill>
          </c:spPr>
          <c:invertIfNegative val="0"/>
          <c:cat>
            <c:strRef>
              <c:f>Лист1!$A$4:$A$16</c:f>
              <c:strCache>
                <c:ptCount val="1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станом на 01.11.2019  </c:v>
                </c:pt>
              </c:strCache>
            </c:strRef>
          </c:cat>
          <c:val>
            <c:numRef>
              <c:f>Лист1!$D$4:$D$16</c:f>
              <c:numCache>
                <c:formatCode>General</c:formatCode>
                <c:ptCount val="13"/>
                <c:pt idx="0">
                  <c:v>26</c:v>
                </c:pt>
                <c:pt idx="1">
                  <c:v>22</c:v>
                </c:pt>
                <c:pt idx="2">
                  <c:v>34</c:v>
                </c:pt>
                <c:pt idx="3">
                  <c:v>63</c:v>
                </c:pt>
                <c:pt idx="4">
                  <c:v>40</c:v>
                </c:pt>
                <c:pt idx="5">
                  <c:v>34</c:v>
                </c:pt>
                <c:pt idx="6">
                  <c:v>38</c:v>
                </c:pt>
                <c:pt idx="7">
                  <c:v>12</c:v>
                </c:pt>
                <c:pt idx="8">
                  <c:v>38</c:v>
                </c:pt>
                <c:pt idx="9">
                  <c:v>34</c:v>
                </c:pt>
                <c:pt idx="10">
                  <c:v>24</c:v>
                </c:pt>
                <c:pt idx="11">
                  <c:v>21</c:v>
                </c:pt>
                <c:pt idx="1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055808"/>
        <c:axId val="90058112"/>
      </c:barChart>
      <c:catAx>
        <c:axId val="90055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>
                <a:latin typeface="+mn-lt"/>
              </a:defRPr>
            </a:pPr>
            <a:endParaRPr lang="uk-UA"/>
          </a:p>
        </c:txPr>
        <c:crossAx val="90058112"/>
        <c:crosses val="autoZero"/>
        <c:auto val="1"/>
        <c:lblAlgn val="ctr"/>
        <c:lblOffset val="100"/>
        <c:noMultiLvlLbl val="0"/>
      </c:catAx>
      <c:valAx>
        <c:axId val="90058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055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447158994049057"/>
          <c:y val="0.16917871322017777"/>
          <c:w val="0.1130329293231309"/>
          <c:h val="0.45485018711712499"/>
        </c:manualLayout>
      </c:layout>
      <c:overlay val="0"/>
      <c:txPr>
        <a:bodyPr/>
        <a:lstStyle/>
        <a:p>
          <a:pPr>
            <a:defRPr sz="800" b="1">
              <a:latin typeface="+mn-lt"/>
            </a:defRPr>
          </a:pPr>
          <a:endParaRPr lang="uk-UA"/>
        </a:p>
      </c:txPr>
    </c:legend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634734395172024E-2"/>
          <c:y val="4.8812804119143773E-2"/>
          <c:w val="0.72314657423634954"/>
          <c:h val="0.838749521741333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заходи, ініційовані ЄК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Лист1!$A$4:$A$16</c:f>
              <c:strCache>
                <c:ptCount val="1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станом на 01.11.2019  </c:v>
                </c:pt>
              </c:strCache>
            </c:strRef>
          </c:cat>
          <c:val>
            <c:numRef>
              <c:f>Лист1!$B$4:$B$16</c:f>
              <c:numCache>
                <c:formatCode>General</c:formatCode>
                <c:ptCount val="13"/>
                <c:pt idx="0">
                  <c:v>18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10</c:v>
                </c:pt>
                <c:pt idx="5">
                  <c:v>8</c:v>
                </c:pt>
                <c:pt idx="6">
                  <c:v>18</c:v>
                </c:pt>
                <c:pt idx="7">
                  <c:v>0</c:v>
                </c:pt>
                <c:pt idx="8">
                  <c:v>10</c:v>
                </c:pt>
                <c:pt idx="9">
                  <c:v>12</c:v>
                </c:pt>
                <c:pt idx="10">
                  <c:v>9</c:v>
                </c:pt>
                <c:pt idx="11">
                  <c:v>7</c:v>
                </c:pt>
                <c:pt idx="1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заходи, ініційовані органом-бенефіціаром</c:v>
                </c:pt>
              </c:strCache>
            </c:strRef>
          </c:tx>
          <c:spPr>
            <a:pattFill prst="dkDnDiag">
              <a:fgClr>
                <a:schemeClr val="tx2"/>
              </a:fgClr>
              <a:bgClr>
                <a:schemeClr val="bg1"/>
              </a:bgClr>
            </a:patt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Лист1!$A$4:$A$16</c:f>
              <c:strCache>
                <c:ptCount val="1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станом на 01.11.2019  </c:v>
                </c:pt>
              </c:strCache>
            </c:strRef>
          </c:cat>
          <c:val>
            <c:numRef>
              <c:f>Лист1!$C$4:$C$16</c:f>
              <c:numCache>
                <c:formatCode>General</c:formatCode>
                <c:ptCount val="13"/>
                <c:pt idx="0">
                  <c:v>15</c:v>
                </c:pt>
                <c:pt idx="1">
                  <c:v>15</c:v>
                </c:pt>
                <c:pt idx="2">
                  <c:v>33</c:v>
                </c:pt>
                <c:pt idx="3">
                  <c:v>76</c:v>
                </c:pt>
                <c:pt idx="4">
                  <c:v>72</c:v>
                </c:pt>
                <c:pt idx="5">
                  <c:v>62</c:v>
                </c:pt>
                <c:pt idx="6">
                  <c:v>47</c:v>
                </c:pt>
                <c:pt idx="7">
                  <c:v>50</c:v>
                </c:pt>
                <c:pt idx="8">
                  <c:v>96</c:v>
                </c:pt>
                <c:pt idx="9">
                  <c:v>72</c:v>
                </c:pt>
                <c:pt idx="10">
                  <c:v>42</c:v>
                </c:pt>
                <c:pt idx="11">
                  <c:v>60</c:v>
                </c:pt>
                <c:pt idx="12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834048"/>
        <c:axId val="152836736"/>
      </c:barChart>
      <c:catAx>
        <c:axId val="152834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 b="1">
                <a:latin typeface="+mn-lt"/>
              </a:defRPr>
            </a:pPr>
            <a:endParaRPr lang="uk-UA"/>
          </a:p>
        </c:txPr>
        <c:crossAx val="152836736"/>
        <c:crosses val="autoZero"/>
        <c:auto val="1"/>
        <c:lblAlgn val="ctr"/>
        <c:lblOffset val="100"/>
        <c:noMultiLvlLbl val="0"/>
      </c:catAx>
      <c:valAx>
        <c:axId val="152836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834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911364259263459"/>
          <c:y val="8.7454528689575955E-2"/>
          <c:w val="0.21936572112598901"/>
          <c:h val="0.74184386679520675"/>
        </c:manualLayout>
      </c:layout>
      <c:overlay val="0"/>
      <c:txPr>
        <a:bodyPr/>
        <a:lstStyle/>
        <a:p>
          <a:pPr>
            <a:defRPr sz="1400" b="1">
              <a:latin typeface="+mn-lt"/>
            </a:defRPr>
          </a:pPr>
          <a:endParaRPr lang="uk-UA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545987677361959E-2"/>
          <c:y val="0.11428995037697884"/>
          <c:w val="0.83442054233898899"/>
          <c:h val="0.793615885891519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accent2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7A5-4A05-9587-3EC5D42199A7}"/>
              </c:ext>
            </c:extLst>
          </c:dPt>
          <c:dPt>
            <c:idx val="1"/>
            <c:bubble3D val="0"/>
            <c:spPr>
              <a:pattFill prst="pct75">
                <a:fgClr>
                  <a:schemeClr val="tx2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7A5-4A05-9587-3EC5D42199A7}"/>
              </c:ext>
            </c:extLst>
          </c:dPt>
          <c:dPt>
            <c:idx val="2"/>
            <c:bubble3D val="0"/>
            <c:spPr>
              <a:pattFill prst="narHorz">
                <a:fgClr>
                  <a:schemeClr val="tx2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7A5-4A05-9587-3EC5D42199A7}"/>
              </c:ext>
            </c:extLst>
          </c:dPt>
          <c:dPt>
            <c:idx val="3"/>
            <c:bubble3D val="0"/>
            <c:spPr>
              <a:pattFill prst="pct5">
                <a:fgClr>
                  <a:schemeClr val="accent2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7A5-4A05-9587-3EC5D42199A7}"/>
              </c:ext>
            </c:extLst>
          </c:dPt>
          <c:dLbls>
            <c:dLbl>
              <c:idx val="0"/>
              <c:layout>
                <c:manualLayout>
                  <c:x val="5.9894936641095874E-2"/>
                  <c:y val="-5.5255290944029027E-2"/>
                </c:manualLayout>
              </c:layout>
              <c:tx>
                <c:rich>
                  <a:bodyPr/>
                  <a:lstStyle/>
                  <a:p>
                    <a:r>
                      <a:rPr lang="uk-UA" sz="1050"/>
                      <a:t>юстиція та внутрішні справи;  205
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7A5-4A05-9587-3EC5D42199A7}"/>
                </c:ext>
              </c:extLst>
            </c:dLbl>
            <c:dLbl>
              <c:idx val="1"/>
              <c:layout>
                <c:manualLayout>
                  <c:x val="0.22238659230096239"/>
                  <c:y val="-4.2291484397783609E-2"/>
                </c:manualLayout>
              </c:layout>
              <c:tx>
                <c:rich>
                  <a:bodyPr/>
                  <a:lstStyle/>
                  <a:p>
                    <a:r>
                      <a:rPr lang="uk-UA" sz="1050"/>
                      <a:t>внутрішній ринок;
367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7A5-4A05-9587-3EC5D42199A7}"/>
                </c:ext>
              </c:extLst>
            </c:dLbl>
            <c:dLbl>
              <c:idx val="2"/>
              <c:layout>
                <c:manualLayout>
                  <c:x val="-1.4781307334341447E-2"/>
                  <c:y val="0.36246089050516445"/>
                </c:manualLayout>
              </c:layout>
              <c:tx>
                <c:rich>
                  <a:bodyPr/>
                  <a:lstStyle/>
                  <a:p>
                    <a:r>
                      <a:rPr lang="uk-UA" sz="1050"/>
                      <a:t>довкілля, телекомунікації та транспорт;</a:t>
                    </a:r>
                    <a:r>
                      <a:rPr lang="uk-UA" sz="1050" baseline="0"/>
                      <a:t> </a:t>
                    </a:r>
                    <a:r>
                      <a:rPr lang="uk-UA" sz="1050"/>
                      <a:t> 
155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7A5-4A05-9587-3EC5D42199A7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uk-UA" sz="1050"/>
                      <a:t>сільське господарство та безпека харчових продуктів;
99 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7A5-4A05-9587-3EC5D42199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юстиція та внутрішні справи </c:v>
                </c:pt>
                <c:pt idx="1">
                  <c:v>внутрішній ринок </c:v>
                </c:pt>
                <c:pt idx="2">
                  <c:v>навколишнє середовище, телекомунікації та транспорт </c:v>
                </c:pt>
                <c:pt idx="3">
                  <c:v>сільське господарство та безпека харчових продуктів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201</c:v>
                </c:pt>
                <c:pt idx="1">
                  <c:v>359</c:v>
                </c:pt>
                <c:pt idx="2">
                  <c:v>151</c:v>
                </c:pt>
                <c:pt idx="3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7A5-4A05-9587-3EC5D42199A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2811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Анастасія Підгорна</dc:creator>
  <cp:lastModifiedBy>Анастасія Підгорна</cp:lastModifiedBy>
  <cp:revision>2</cp:revision>
  <cp:lastPrinted>2019-10-22T13:30:00Z</cp:lastPrinted>
  <dcterms:created xsi:type="dcterms:W3CDTF">2019-11-04T07:41:00Z</dcterms:created>
  <dcterms:modified xsi:type="dcterms:W3CDTF">2019-11-04T07:41:00Z</dcterms:modified>
</cp:coreProperties>
</file>