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34" w:rsidRPr="00604034" w:rsidRDefault="00604034" w:rsidP="00604034">
      <w:pPr>
        <w:spacing w:after="120" w:line="276" w:lineRule="auto"/>
        <w:jc w:val="left"/>
        <w:rPr>
          <w:rFonts w:cs="Times New Roman"/>
          <w:b/>
          <w:color w:val="1F497D" w:themeColor="text2"/>
          <w:sz w:val="28"/>
          <w:szCs w:val="26"/>
        </w:rPr>
      </w:pPr>
      <w:r w:rsidRPr="00604034">
        <w:rPr>
          <w:rFonts w:cs="Times New Roman"/>
          <w:b/>
          <w:bCs/>
          <w:noProof/>
          <w:sz w:val="28"/>
          <w:szCs w:val="27"/>
          <w:lang w:eastAsia="uk-UA"/>
        </w:rPr>
        <w:drawing>
          <wp:anchor distT="0" distB="0" distL="114300" distR="114300" simplePos="0" relativeHeight="251659264" behindDoc="0" locked="0" layoutInCell="1" allowOverlap="1" wp14:anchorId="28769829" wp14:editId="68B818AF">
            <wp:simplePos x="722630" y="722630"/>
            <wp:positionH relativeFrom="margin">
              <wp:align>left</wp:align>
            </wp:positionH>
            <wp:positionV relativeFrom="margin">
              <wp:posOffset>379848</wp:posOffset>
            </wp:positionV>
            <wp:extent cx="6301105" cy="1005205"/>
            <wp:effectExtent l="0" t="0" r="444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ex logo.jpg"/>
                    <pic:cNvPicPr/>
                  </pic:nvPicPr>
                  <pic:blipFill>
                    <a:blip r:embed="rId6">
                      <a:extLst>
                        <a:ext uri="{28A0092B-C50C-407E-A947-70E740481C1C}">
                          <a14:useLocalDpi xmlns:a14="http://schemas.microsoft.com/office/drawing/2010/main" val="0"/>
                        </a:ext>
                      </a:extLst>
                    </a:blip>
                    <a:stretch>
                      <a:fillRect/>
                    </a:stretch>
                  </pic:blipFill>
                  <pic:spPr>
                    <a:xfrm>
                      <a:off x="0" y="0"/>
                      <a:ext cx="6301105" cy="1005205"/>
                    </a:xfrm>
                    <a:prstGeom prst="rect">
                      <a:avLst/>
                    </a:prstGeom>
                  </pic:spPr>
                </pic:pic>
              </a:graphicData>
            </a:graphic>
          </wp:anchor>
        </w:drawing>
      </w:r>
    </w:p>
    <w:p w:rsidR="00604034" w:rsidRPr="00604034" w:rsidRDefault="00604034" w:rsidP="00604034">
      <w:pPr>
        <w:spacing w:after="120" w:line="276" w:lineRule="auto"/>
        <w:jc w:val="left"/>
        <w:rPr>
          <w:rFonts w:cs="Times New Roman"/>
          <w:b/>
          <w:color w:val="1F497D" w:themeColor="text2"/>
          <w:sz w:val="28"/>
          <w:szCs w:val="26"/>
        </w:rPr>
      </w:pPr>
    </w:p>
    <w:p w:rsidR="00604034" w:rsidRPr="00604034" w:rsidRDefault="00604034" w:rsidP="00604034">
      <w:pPr>
        <w:spacing w:after="120" w:line="276" w:lineRule="auto"/>
        <w:rPr>
          <w:rFonts w:asciiTheme="minorHAnsi" w:hAnsiTheme="minorHAnsi" w:cs="Times New Roman"/>
          <w:b/>
          <w:color w:val="1F497D" w:themeColor="text2"/>
          <w:sz w:val="28"/>
          <w:szCs w:val="26"/>
          <w:lang w:val="en-US"/>
        </w:rPr>
      </w:pPr>
      <w:r w:rsidRPr="00604034">
        <w:rPr>
          <w:rFonts w:asciiTheme="minorHAnsi" w:hAnsiTheme="minorHAnsi" w:cs="Times New Roman"/>
          <w:b/>
          <w:color w:val="1F497D" w:themeColor="text2"/>
          <w:sz w:val="28"/>
          <w:szCs w:val="26"/>
          <w:lang w:val="en-US"/>
        </w:rPr>
        <w:t>INFORMATION AND STATISTICAL NOTICE</w:t>
      </w:r>
      <w:r>
        <w:rPr>
          <w:rFonts w:asciiTheme="minorHAnsi" w:hAnsiTheme="minorHAnsi" w:cs="Times New Roman"/>
          <w:b/>
          <w:color w:val="1F497D" w:themeColor="text2"/>
          <w:sz w:val="28"/>
          <w:szCs w:val="26"/>
          <w:lang w:val="en-US"/>
        </w:rPr>
        <w:t xml:space="preserve"> </w:t>
      </w:r>
      <w:r w:rsidRPr="00604034">
        <w:rPr>
          <w:rFonts w:asciiTheme="minorHAnsi" w:hAnsiTheme="minorHAnsi" w:cs="Times New Roman"/>
          <w:b/>
          <w:color w:val="1F497D" w:themeColor="text2"/>
          <w:sz w:val="28"/>
          <w:szCs w:val="26"/>
          <w:lang w:val="en-US"/>
        </w:rPr>
        <w:t>ON TAIEX INSTRUMENT USE AND IMPLEMENTATION IN UKRAINE</w:t>
      </w:r>
    </w:p>
    <w:p w:rsidR="00604034" w:rsidRPr="002C1271" w:rsidRDefault="00604034" w:rsidP="00604034">
      <w:pPr>
        <w:spacing w:after="120" w:line="276" w:lineRule="auto"/>
        <w:rPr>
          <w:rFonts w:cs="Times New Roman"/>
          <w:bCs/>
          <w:sz w:val="25"/>
          <w:szCs w:val="25"/>
        </w:rPr>
      </w:pPr>
      <w:r w:rsidRPr="002C1271">
        <w:rPr>
          <w:rFonts w:cs="Times New Roman"/>
          <w:b/>
          <w:bCs/>
          <w:sz w:val="25"/>
          <w:szCs w:val="25"/>
        </w:rPr>
        <w:t>TAIEX (</w:t>
      </w:r>
      <w:proofErr w:type="spellStart"/>
      <w:r w:rsidRPr="002C1271">
        <w:rPr>
          <w:rFonts w:cs="Times New Roman"/>
          <w:b/>
          <w:bCs/>
          <w:sz w:val="25"/>
          <w:szCs w:val="25"/>
        </w:rPr>
        <w:t>Technical</w:t>
      </w:r>
      <w:proofErr w:type="spellEnd"/>
      <w:r w:rsidRPr="002C1271">
        <w:rPr>
          <w:rFonts w:cs="Times New Roman"/>
          <w:b/>
          <w:bCs/>
          <w:sz w:val="25"/>
          <w:szCs w:val="25"/>
        </w:rPr>
        <w:t xml:space="preserve"> </w:t>
      </w:r>
      <w:proofErr w:type="spellStart"/>
      <w:r w:rsidRPr="002C1271">
        <w:rPr>
          <w:rFonts w:cs="Times New Roman"/>
          <w:b/>
          <w:bCs/>
          <w:sz w:val="25"/>
          <w:szCs w:val="25"/>
        </w:rPr>
        <w:t>Assistance</w:t>
      </w:r>
      <w:proofErr w:type="spellEnd"/>
      <w:r w:rsidRPr="002C1271">
        <w:rPr>
          <w:rFonts w:cs="Times New Roman"/>
          <w:b/>
          <w:bCs/>
          <w:sz w:val="25"/>
          <w:szCs w:val="25"/>
        </w:rPr>
        <w:t xml:space="preserve"> </w:t>
      </w:r>
      <w:proofErr w:type="spellStart"/>
      <w:r w:rsidRPr="002C1271">
        <w:rPr>
          <w:rFonts w:cs="Times New Roman"/>
          <w:b/>
          <w:bCs/>
          <w:sz w:val="25"/>
          <w:szCs w:val="25"/>
        </w:rPr>
        <w:t>Information</w:t>
      </w:r>
      <w:proofErr w:type="spellEnd"/>
      <w:r w:rsidRPr="002C1271">
        <w:rPr>
          <w:rFonts w:cs="Times New Roman"/>
          <w:b/>
          <w:bCs/>
          <w:sz w:val="25"/>
          <w:szCs w:val="25"/>
        </w:rPr>
        <w:t xml:space="preserve"> Exchange)</w:t>
      </w:r>
      <w:r w:rsidRPr="002C1271">
        <w:rPr>
          <w:rFonts w:cs="Times New Roman"/>
          <w:bCs/>
          <w:sz w:val="25"/>
          <w:szCs w:val="25"/>
        </w:rPr>
        <w:t xml:space="preserve"> – </w:t>
      </w:r>
      <w:r w:rsidR="00206FA0" w:rsidRPr="002C1271">
        <w:rPr>
          <w:rFonts w:cs="Times New Roman"/>
          <w:bCs/>
          <w:sz w:val="25"/>
          <w:szCs w:val="25"/>
          <w:lang w:val="en-US"/>
        </w:rPr>
        <w:t>is an instrument of technical assistance and information exchange, provided by the European Commission with the aim of strengthening institutional capacity, with further adaptation of the national legislation to the legislation of the European Union (</w:t>
      </w:r>
      <w:proofErr w:type="spellStart"/>
      <w:r w:rsidR="00206FA0" w:rsidRPr="002C1271">
        <w:rPr>
          <w:rFonts w:cs="Times New Roman"/>
          <w:bCs/>
          <w:sz w:val="25"/>
          <w:szCs w:val="25"/>
          <w:lang w:val="en-US"/>
        </w:rPr>
        <w:t>acquis</w:t>
      </w:r>
      <w:proofErr w:type="spellEnd"/>
      <w:r w:rsidR="00206FA0" w:rsidRPr="002C1271">
        <w:rPr>
          <w:rFonts w:cs="Times New Roman"/>
          <w:bCs/>
          <w:sz w:val="25"/>
          <w:szCs w:val="25"/>
          <w:lang w:val="en-US"/>
        </w:rPr>
        <w:t xml:space="preserve"> </w:t>
      </w:r>
      <w:proofErr w:type="spellStart"/>
      <w:r w:rsidR="00206FA0" w:rsidRPr="002C1271">
        <w:rPr>
          <w:rFonts w:cs="Times New Roman"/>
          <w:bCs/>
          <w:sz w:val="25"/>
          <w:szCs w:val="25"/>
          <w:lang w:val="en-US"/>
        </w:rPr>
        <w:t>communautaire</w:t>
      </w:r>
      <w:proofErr w:type="spellEnd"/>
      <w:r w:rsidR="00206FA0" w:rsidRPr="002C1271">
        <w:rPr>
          <w:rFonts w:cs="Times New Roman"/>
          <w:bCs/>
          <w:sz w:val="25"/>
          <w:szCs w:val="25"/>
          <w:lang w:val="en-US"/>
        </w:rPr>
        <w:t>), its implementation and further effective use.</w:t>
      </w:r>
    </w:p>
    <w:p w:rsidR="00604034" w:rsidRPr="002C1271" w:rsidRDefault="002C1271" w:rsidP="00604034">
      <w:pPr>
        <w:spacing w:after="120" w:line="276" w:lineRule="auto"/>
        <w:rPr>
          <w:rFonts w:cs="Times New Roman"/>
          <w:bCs/>
          <w:sz w:val="25"/>
          <w:szCs w:val="25"/>
        </w:rPr>
      </w:pPr>
      <w:r w:rsidRPr="002C1271">
        <w:rPr>
          <w:rFonts w:cs="Times New Roman"/>
          <w:b/>
          <w:bCs/>
          <w:sz w:val="25"/>
          <w:szCs w:val="25"/>
        </w:rPr>
        <w:t>TAIEX</w:t>
      </w:r>
      <w:r w:rsidRPr="002C1271">
        <w:rPr>
          <w:rFonts w:cs="Times New Roman"/>
          <w:bCs/>
          <w:sz w:val="25"/>
          <w:szCs w:val="25"/>
        </w:rPr>
        <w:t xml:space="preserve"> </w:t>
      </w:r>
      <w:proofErr w:type="spellStart"/>
      <w:r w:rsidRPr="002C1271">
        <w:rPr>
          <w:rFonts w:cs="Times New Roman"/>
          <w:bCs/>
          <w:sz w:val="25"/>
          <w:szCs w:val="25"/>
        </w:rPr>
        <w:t>is</w:t>
      </w:r>
      <w:proofErr w:type="spellEnd"/>
      <w:r w:rsidRPr="002C1271">
        <w:rPr>
          <w:rFonts w:cs="Times New Roman"/>
          <w:bCs/>
          <w:sz w:val="25"/>
          <w:szCs w:val="25"/>
        </w:rPr>
        <w:t xml:space="preserve"> </w:t>
      </w:r>
      <w:proofErr w:type="spellStart"/>
      <w:r w:rsidRPr="002C1271">
        <w:rPr>
          <w:rFonts w:cs="Times New Roman"/>
          <w:bCs/>
          <w:sz w:val="25"/>
          <w:szCs w:val="25"/>
        </w:rPr>
        <w:t>one</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most</w:t>
      </w:r>
      <w:proofErr w:type="spellEnd"/>
      <w:r w:rsidRPr="002C1271">
        <w:rPr>
          <w:rFonts w:cs="Times New Roman"/>
          <w:bCs/>
          <w:sz w:val="25"/>
          <w:szCs w:val="25"/>
        </w:rPr>
        <w:t xml:space="preserve"> </w:t>
      </w:r>
      <w:proofErr w:type="spellStart"/>
      <w:r w:rsidRPr="002C1271">
        <w:rPr>
          <w:rFonts w:cs="Times New Roman"/>
          <w:bCs/>
          <w:sz w:val="25"/>
          <w:szCs w:val="25"/>
        </w:rPr>
        <w:t>widespread</w:t>
      </w:r>
      <w:proofErr w:type="spellEnd"/>
      <w:r w:rsidRPr="002C1271">
        <w:rPr>
          <w:rFonts w:cs="Times New Roman"/>
          <w:bCs/>
          <w:sz w:val="25"/>
          <w:szCs w:val="25"/>
        </w:rPr>
        <w:t xml:space="preserve">, </w:t>
      </w:r>
      <w:proofErr w:type="spellStart"/>
      <w:r w:rsidRPr="002C1271">
        <w:rPr>
          <w:rFonts w:cs="Times New Roman"/>
          <w:bCs/>
          <w:sz w:val="25"/>
          <w:szCs w:val="25"/>
        </w:rPr>
        <w:t>effective</w:t>
      </w:r>
      <w:proofErr w:type="spellEnd"/>
      <w:r w:rsidRPr="002C1271">
        <w:rPr>
          <w:rFonts w:cs="Times New Roman"/>
          <w:bCs/>
          <w:sz w:val="25"/>
          <w:szCs w:val="25"/>
        </w:rPr>
        <w:t xml:space="preserve"> </w:t>
      </w:r>
      <w:proofErr w:type="spellStart"/>
      <w:r w:rsidRPr="002C1271">
        <w:rPr>
          <w:rFonts w:cs="Times New Roman"/>
          <w:bCs/>
          <w:sz w:val="25"/>
          <w:szCs w:val="25"/>
        </w:rPr>
        <w:t>and</w:t>
      </w:r>
      <w:proofErr w:type="spellEnd"/>
      <w:r w:rsidRPr="002C1271">
        <w:rPr>
          <w:rFonts w:cs="Times New Roman"/>
          <w:bCs/>
          <w:sz w:val="25"/>
          <w:szCs w:val="25"/>
        </w:rPr>
        <w:t xml:space="preserve"> </w:t>
      </w:r>
      <w:proofErr w:type="spellStart"/>
      <w:r w:rsidRPr="002C1271">
        <w:rPr>
          <w:rFonts w:cs="Times New Roman"/>
          <w:bCs/>
          <w:sz w:val="25"/>
          <w:szCs w:val="25"/>
        </w:rPr>
        <w:t>available</w:t>
      </w:r>
      <w:proofErr w:type="spellEnd"/>
      <w:r w:rsidRPr="002C1271">
        <w:rPr>
          <w:rFonts w:cs="Times New Roman"/>
          <w:bCs/>
          <w:sz w:val="25"/>
          <w:szCs w:val="25"/>
        </w:rPr>
        <w:t xml:space="preserve"> </w:t>
      </w:r>
      <w:proofErr w:type="spellStart"/>
      <w:r w:rsidRPr="002C1271">
        <w:rPr>
          <w:rFonts w:cs="Times New Roman"/>
          <w:bCs/>
          <w:sz w:val="25"/>
          <w:szCs w:val="25"/>
        </w:rPr>
        <w:t>among</w:t>
      </w:r>
      <w:proofErr w:type="spellEnd"/>
      <w:r w:rsidRPr="002C1271">
        <w:rPr>
          <w:rFonts w:cs="Times New Roman"/>
          <w:bCs/>
          <w:sz w:val="25"/>
          <w:szCs w:val="25"/>
        </w:rPr>
        <w:t xml:space="preserve"> </w:t>
      </w:r>
      <w:proofErr w:type="spellStart"/>
      <w:r w:rsidRPr="002C1271">
        <w:rPr>
          <w:rFonts w:cs="Times New Roman"/>
          <w:bCs/>
          <w:sz w:val="25"/>
          <w:szCs w:val="25"/>
        </w:rPr>
        <w:t>all</w:t>
      </w:r>
      <w:proofErr w:type="spellEnd"/>
      <w:r w:rsidRPr="002C1271">
        <w:rPr>
          <w:rFonts w:cs="Times New Roman"/>
          <w:bCs/>
          <w:sz w:val="25"/>
          <w:szCs w:val="25"/>
        </w:rPr>
        <w:t xml:space="preserve"> </w:t>
      </w:r>
      <w:proofErr w:type="spellStart"/>
      <w:r w:rsidRPr="002C1271">
        <w:rPr>
          <w:rFonts w:cs="Times New Roman"/>
          <w:bCs/>
          <w:sz w:val="25"/>
          <w:szCs w:val="25"/>
        </w:rPr>
        <w:t>possible</w:t>
      </w:r>
      <w:proofErr w:type="spellEnd"/>
      <w:r w:rsidRPr="002C1271">
        <w:rPr>
          <w:rFonts w:cs="Times New Roman"/>
          <w:bCs/>
          <w:sz w:val="25"/>
          <w:szCs w:val="25"/>
        </w:rPr>
        <w:t xml:space="preserve"> </w:t>
      </w:r>
      <w:proofErr w:type="spellStart"/>
      <w:r w:rsidRPr="002C1271">
        <w:rPr>
          <w:rFonts w:cs="Times New Roman"/>
          <w:bCs/>
          <w:sz w:val="25"/>
          <w:szCs w:val="25"/>
        </w:rPr>
        <w:t>instruments</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assistance</w:t>
      </w:r>
      <w:proofErr w:type="spellEnd"/>
      <w:r w:rsidRPr="002C1271">
        <w:rPr>
          <w:rFonts w:cs="Times New Roman"/>
          <w:bCs/>
          <w:sz w:val="25"/>
          <w:szCs w:val="25"/>
        </w:rPr>
        <w:t xml:space="preserve"> </w:t>
      </w:r>
      <w:proofErr w:type="spellStart"/>
      <w:r w:rsidRPr="002C1271">
        <w:rPr>
          <w:rFonts w:cs="Times New Roman"/>
          <w:bCs/>
          <w:sz w:val="25"/>
          <w:szCs w:val="25"/>
        </w:rPr>
        <w:t>to</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European</w:t>
      </w:r>
      <w:proofErr w:type="spellEnd"/>
      <w:r w:rsidRPr="002C1271">
        <w:rPr>
          <w:rFonts w:cs="Times New Roman"/>
          <w:bCs/>
          <w:sz w:val="25"/>
          <w:szCs w:val="25"/>
        </w:rPr>
        <w:t xml:space="preserve"> </w:t>
      </w:r>
      <w:proofErr w:type="spellStart"/>
      <w:r w:rsidRPr="002C1271">
        <w:rPr>
          <w:rFonts w:cs="Times New Roman"/>
          <w:bCs/>
          <w:sz w:val="25"/>
          <w:szCs w:val="25"/>
        </w:rPr>
        <w:t>Union</w:t>
      </w:r>
      <w:proofErr w:type="spellEnd"/>
      <w:r w:rsidRPr="002C1271">
        <w:rPr>
          <w:rFonts w:cs="Times New Roman"/>
          <w:bCs/>
          <w:sz w:val="25"/>
          <w:szCs w:val="25"/>
        </w:rPr>
        <w:t>.</w:t>
      </w:r>
    </w:p>
    <w:p w:rsidR="002C1271" w:rsidRDefault="00206FA0" w:rsidP="00604034">
      <w:pPr>
        <w:spacing w:after="120" w:line="276" w:lineRule="auto"/>
        <w:rPr>
          <w:rFonts w:cs="Times New Roman"/>
          <w:bCs/>
          <w:sz w:val="25"/>
          <w:szCs w:val="25"/>
          <w:lang w:val="en-US"/>
        </w:rPr>
      </w:pPr>
      <w:r w:rsidRPr="002C1271">
        <w:rPr>
          <w:rFonts w:cs="Times New Roman"/>
          <w:b/>
          <w:bCs/>
          <w:sz w:val="25"/>
          <w:szCs w:val="25"/>
          <w:lang w:val="en-US"/>
        </w:rPr>
        <w:t xml:space="preserve">Technical Assistance and Information </w:t>
      </w:r>
      <w:r w:rsidRPr="002C1271">
        <w:rPr>
          <w:rFonts w:cs="Times New Roman"/>
          <w:bCs/>
          <w:sz w:val="25"/>
          <w:szCs w:val="25"/>
          <w:lang w:val="en-US"/>
        </w:rPr>
        <w:t xml:space="preserve">was established by Directorate-General for </w:t>
      </w:r>
      <w:proofErr w:type="spellStart"/>
      <w:r w:rsidRPr="002C1271">
        <w:rPr>
          <w:rFonts w:cs="Times New Roman"/>
          <w:bCs/>
          <w:sz w:val="25"/>
          <w:szCs w:val="25"/>
          <w:lang w:val="en-US"/>
        </w:rPr>
        <w:t>Neighbourhood</w:t>
      </w:r>
      <w:proofErr w:type="spellEnd"/>
      <w:r w:rsidRPr="002C1271">
        <w:rPr>
          <w:rFonts w:cs="Times New Roman"/>
          <w:bCs/>
          <w:sz w:val="25"/>
          <w:szCs w:val="25"/>
          <w:lang w:val="en-US"/>
        </w:rPr>
        <w:t xml:space="preserve"> and Enlargement Negotiations (DG NEAR) of the European Commission in 1996 in order to assist the candidate countries in the short term to solve the issues of introduction of EU legislation (</w:t>
      </w:r>
      <w:proofErr w:type="spellStart"/>
      <w:r w:rsidRPr="002C1271">
        <w:rPr>
          <w:rFonts w:cs="Times New Roman"/>
          <w:bCs/>
          <w:sz w:val="25"/>
          <w:szCs w:val="25"/>
          <w:lang w:val="en-US"/>
        </w:rPr>
        <w:t>acquis</w:t>
      </w:r>
      <w:proofErr w:type="spellEnd"/>
      <w:r w:rsidRPr="002C1271">
        <w:rPr>
          <w:rFonts w:cs="Times New Roman"/>
          <w:bCs/>
          <w:sz w:val="25"/>
          <w:szCs w:val="25"/>
          <w:lang w:val="en-US"/>
        </w:rPr>
        <w:t xml:space="preserve"> </w:t>
      </w:r>
      <w:proofErr w:type="spellStart"/>
      <w:r w:rsidRPr="002C1271">
        <w:rPr>
          <w:rFonts w:cs="Times New Roman"/>
          <w:bCs/>
          <w:sz w:val="25"/>
          <w:szCs w:val="25"/>
          <w:lang w:val="en-US"/>
        </w:rPr>
        <w:t>communautaire</w:t>
      </w:r>
      <w:proofErr w:type="spellEnd"/>
      <w:r w:rsidRPr="002C1271">
        <w:rPr>
          <w:rFonts w:cs="Times New Roman"/>
          <w:bCs/>
          <w:sz w:val="25"/>
          <w:szCs w:val="25"/>
          <w:lang w:val="en-US"/>
        </w:rPr>
        <w:t xml:space="preserve">). </w:t>
      </w:r>
    </w:p>
    <w:p w:rsidR="00604034" w:rsidRPr="002C1271" w:rsidRDefault="00882593" w:rsidP="00604034">
      <w:pPr>
        <w:spacing w:after="120" w:line="276" w:lineRule="auto"/>
        <w:rPr>
          <w:rFonts w:cs="Times New Roman"/>
          <w:bCs/>
          <w:sz w:val="25"/>
          <w:szCs w:val="25"/>
          <w:lang w:val="en-US"/>
        </w:rPr>
      </w:pPr>
      <w:r w:rsidRPr="002C1271">
        <w:rPr>
          <w:rFonts w:cs="Times New Roman"/>
          <w:bCs/>
          <w:sz w:val="25"/>
          <w:szCs w:val="25"/>
          <w:lang w:val="en-US"/>
        </w:rPr>
        <w:t xml:space="preserve">The TAIEX task consists </w:t>
      </w:r>
      <w:r w:rsidR="00985675" w:rsidRPr="002C1271">
        <w:rPr>
          <w:rFonts w:cs="Times New Roman"/>
          <w:bCs/>
          <w:sz w:val="25"/>
          <w:szCs w:val="25"/>
          <w:lang w:val="en-US"/>
        </w:rPr>
        <w:t xml:space="preserve">of a simplified mechanism for </w:t>
      </w:r>
      <w:r w:rsidRPr="002C1271">
        <w:rPr>
          <w:rFonts w:cs="Times New Roman"/>
          <w:bCs/>
          <w:sz w:val="25"/>
          <w:szCs w:val="25"/>
          <w:lang w:val="en-US"/>
        </w:rPr>
        <w:t>transfer</w:t>
      </w:r>
      <w:r w:rsidR="00985675" w:rsidRPr="002C1271">
        <w:rPr>
          <w:rFonts w:cs="Times New Roman"/>
          <w:bCs/>
          <w:sz w:val="25"/>
          <w:szCs w:val="25"/>
          <w:lang w:val="en-US"/>
        </w:rPr>
        <w:t>ring</w:t>
      </w:r>
      <w:r w:rsidRPr="002C1271">
        <w:rPr>
          <w:rFonts w:cs="Times New Roman"/>
          <w:bCs/>
          <w:sz w:val="25"/>
          <w:szCs w:val="25"/>
          <w:lang w:val="en-US"/>
        </w:rPr>
        <w:t xml:space="preserve"> of information and </w:t>
      </w:r>
      <w:r w:rsidR="00985675" w:rsidRPr="002C1271">
        <w:rPr>
          <w:rFonts w:cs="Times New Roman"/>
          <w:bCs/>
          <w:sz w:val="25"/>
          <w:szCs w:val="25"/>
          <w:lang w:val="en-US"/>
        </w:rPr>
        <w:t xml:space="preserve">best practices </w:t>
      </w:r>
      <w:r w:rsidRPr="002C1271">
        <w:rPr>
          <w:rFonts w:cs="Times New Roman"/>
          <w:bCs/>
          <w:sz w:val="25"/>
          <w:szCs w:val="25"/>
          <w:lang w:val="en-US"/>
        </w:rPr>
        <w:t xml:space="preserve">exchange between the Member States of the European Union and the beneficiary countries (candidate countries, Western Balkan countries and countries of the European Neighborhood Policy). </w:t>
      </w:r>
      <w:r w:rsidR="00985675" w:rsidRPr="002C1271">
        <w:rPr>
          <w:rFonts w:cs="Times New Roman"/>
          <w:bCs/>
          <w:sz w:val="25"/>
          <w:szCs w:val="25"/>
          <w:lang w:val="en-US"/>
        </w:rPr>
        <w:t xml:space="preserve">Since 2006 </w:t>
      </w:r>
      <w:r w:rsidR="00906C53" w:rsidRPr="002C1271">
        <w:rPr>
          <w:rFonts w:cs="Times New Roman"/>
          <w:bCs/>
          <w:sz w:val="25"/>
          <w:szCs w:val="25"/>
          <w:lang w:val="en-US"/>
        </w:rPr>
        <w:t>Ukraine</w:t>
      </w:r>
      <w:r w:rsidR="00985675" w:rsidRPr="002C1271">
        <w:rPr>
          <w:rFonts w:cs="Times New Roman"/>
          <w:bCs/>
          <w:sz w:val="25"/>
          <w:szCs w:val="25"/>
          <w:lang w:val="en-US"/>
        </w:rPr>
        <w:t xml:space="preserve"> has been using</w:t>
      </w:r>
      <w:r w:rsidR="00906C53" w:rsidRPr="002C1271">
        <w:rPr>
          <w:rFonts w:cs="Times New Roman"/>
          <w:bCs/>
          <w:sz w:val="25"/>
          <w:szCs w:val="25"/>
          <w:lang w:val="en-US"/>
        </w:rPr>
        <w:t xml:space="preserve"> TAIEX tool. </w:t>
      </w:r>
    </w:p>
    <w:p w:rsidR="00604034" w:rsidRPr="002C1271" w:rsidRDefault="00882593" w:rsidP="00604034">
      <w:pPr>
        <w:spacing w:after="120" w:line="276" w:lineRule="auto"/>
        <w:rPr>
          <w:rFonts w:cs="Times New Roman"/>
          <w:bCs/>
          <w:sz w:val="25"/>
          <w:szCs w:val="25"/>
        </w:rPr>
      </w:pP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defining</w:t>
      </w:r>
      <w:proofErr w:type="spellEnd"/>
      <w:r w:rsidRPr="002C1271">
        <w:rPr>
          <w:rFonts w:cs="Times New Roman"/>
          <w:bCs/>
          <w:sz w:val="25"/>
          <w:szCs w:val="25"/>
        </w:rPr>
        <w:t xml:space="preserve"> </w:t>
      </w:r>
      <w:proofErr w:type="spellStart"/>
      <w:r w:rsidRPr="002C1271">
        <w:rPr>
          <w:rFonts w:cs="Times New Roman"/>
          <w:bCs/>
          <w:sz w:val="25"/>
          <w:szCs w:val="25"/>
        </w:rPr>
        <w:t>features</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TAIEX </w:t>
      </w:r>
      <w:proofErr w:type="spellStart"/>
      <w:r w:rsidRPr="002C1271">
        <w:rPr>
          <w:rFonts w:cs="Times New Roman"/>
          <w:bCs/>
          <w:sz w:val="25"/>
          <w:szCs w:val="25"/>
        </w:rPr>
        <w:t>tool</w:t>
      </w:r>
      <w:proofErr w:type="spellEnd"/>
      <w:r w:rsidRPr="002C1271">
        <w:rPr>
          <w:rFonts w:cs="Times New Roman"/>
          <w:bCs/>
          <w:sz w:val="25"/>
          <w:szCs w:val="25"/>
        </w:rPr>
        <w:t xml:space="preserve"> </w:t>
      </w:r>
      <w:proofErr w:type="spellStart"/>
      <w:r w:rsidRPr="002C1271">
        <w:rPr>
          <w:rFonts w:cs="Times New Roman"/>
          <w:bCs/>
          <w:sz w:val="25"/>
          <w:szCs w:val="25"/>
        </w:rPr>
        <w:t>are</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focus</w:t>
      </w:r>
      <w:proofErr w:type="spellEnd"/>
      <w:r w:rsidRPr="002C1271">
        <w:rPr>
          <w:rFonts w:cs="Times New Roman"/>
          <w:bCs/>
          <w:sz w:val="25"/>
          <w:szCs w:val="25"/>
        </w:rPr>
        <w:t xml:space="preserve"> </w:t>
      </w:r>
      <w:proofErr w:type="spellStart"/>
      <w:r w:rsidRPr="002C1271">
        <w:rPr>
          <w:rFonts w:cs="Times New Roman"/>
          <w:bCs/>
          <w:sz w:val="25"/>
          <w:szCs w:val="25"/>
        </w:rPr>
        <w:t>on</w:t>
      </w:r>
      <w:proofErr w:type="spellEnd"/>
      <w:r w:rsidRPr="002C1271">
        <w:rPr>
          <w:rFonts w:cs="Times New Roman"/>
          <w:bCs/>
          <w:sz w:val="25"/>
          <w:szCs w:val="25"/>
        </w:rPr>
        <w:t xml:space="preserve"> </w:t>
      </w:r>
      <w:proofErr w:type="spellStart"/>
      <w:r w:rsidRPr="002C1271">
        <w:rPr>
          <w:rFonts w:cs="Times New Roman"/>
          <w:bCs/>
          <w:sz w:val="25"/>
          <w:szCs w:val="25"/>
        </w:rPr>
        <w:t>solving</w:t>
      </w:r>
      <w:proofErr w:type="spellEnd"/>
      <w:r w:rsidRPr="002C1271">
        <w:rPr>
          <w:rFonts w:cs="Times New Roman"/>
          <w:bCs/>
          <w:sz w:val="25"/>
          <w:szCs w:val="25"/>
        </w:rPr>
        <w:t xml:space="preserve"> </w:t>
      </w:r>
      <w:proofErr w:type="spellStart"/>
      <w:r w:rsidRPr="002C1271">
        <w:rPr>
          <w:rFonts w:cs="Times New Roman"/>
          <w:bCs/>
          <w:sz w:val="25"/>
          <w:szCs w:val="25"/>
        </w:rPr>
        <w:t>specific</w:t>
      </w:r>
      <w:proofErr w:type="spellEnd"/>
      <w:r w:rsidRPr="002C1271">
        <w:rPr>
          <w:rFonts w:cs="Times New Roman"/>
          <w:bCs/>
          <w:sz w:val="25"/>
          <w:szCs w:val="25"/>
        </w:rPr>
        <w:t xml:space="preserve"> </w:t>
      </w:r>
      <w:proofErr w:type="spellStart"/>
      <w:r w:rsidRPr="002C1271">
        <w:rPr>
          <w:rFonts w:cs="Times New Roman"/>
          <w:bCs/>
          <w:sz w:val="25"/>
          <w:szCs w:val="25"/>
        </w:rPr>
        <w:t>development</w:t>
      </w:r>
      <w:proofErr w:type="spellEnd"/>
      <w:r w:rsidRPr="002C1271">
        <w:rPr>
          <w:rFonts w:cs="Times New Roman"/>
          <w:bCs/>
          <w:sz w:val="25"/>
          <w:szCs w:val="25"/>
        </w:rPr>
        <w:t xml:space="preserve"> </w:t>
      </w:r>
      <w:proofErr w:type="spellStart"/>
      <w:r w:rsidRPr="002C1271">
        <w:rPr>
          <w:rFonts w:cs="Times New Roman"/>
          <w:bCs/>
          <w:sz w:val="25"/>
          <w:szCs w:val="25"/>
        </w:rPr>
        <w:t>and</w:t>
      </w:r>
      <w:proofErr w:type="spellEnd"/>
      <w:r w:rsidRPr="002C1271">
        <w:rPr>
          <w:rFonts w:cs="Times New Roman"/>
          <w:bCs/>
          <w:sz w:val="25"/>
          <w:szCs w:val="25"/>
        </w:rPr>
        <w:t xml:space="preserve"> </w:t>
      </w:r>
      <w:proofErr w:type="spellStart"/>
      <w:r w:rsidRPr="002C1271">
        <w:rPr>
          <w:rFonts w:cs="Times New Roman"/>
          <w:bCs/>
          <w:sz w:val="25"/>
          <w:szCs w:val="25"/>
        </w:rPr>
        <w:t>integration</w:t>
      </w:r>
      <w:proofErr w:type="spellEnd"/>
      <w:r w:rsidRPr="002C1271">
        <w:rPr>
          <w:rFonts w:cs="Times New Roman"/>
          <w:bCs/>
          <w:sz w:val="25"/>
          <w:szCs w:val="25"/>
        </w:rPr>
        <w:t xml:space="preserve"> </w:t>
      </w:r>
      <w:proofErr w:type="spellStart"/>
      <w:r w:rsidRPr="002C1271">
        <w:rPr>
          <w:rFonts w:cs="Times New Roman"/>
          <w:bCs/>
          <w:sz w:val="25"/>
          <w:szCs w:val="25"/>
        </w:rPr>
        <w:t>problems</w:t>
      </w:r>
      <w:proofErr w:type="spellEnd"/>
      <w:r w:rsidRPr="002C1271">
        <w:rPr>
          <w:rFonts w:cs="Times New Roman"/>
          <w:bCs/>
          <w:sz w:val="25"/>
          <w:szCs w:val="25"/>
        </w:rPr>
        <w:t xml:space="preserve">, </w:t>
      </w:r>
      <w:proofErr w:type="spellStart"/>
      <w:r w:rsidRPr="002C1271">
        <w:rPr>
          <w:rFonts w:cs="Times New Roman"/>
          <w:bCs/>
          <w:sz w:val="25"/>
          <w:szCs w:val="25"/>
        </w:rPr>
        <w:t>requiring</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00906C53" w:rsidRPr="002C1271">
        <w:rPr>
          <w:rFonts w:cs="Times New Roman"/>
          <w:bCs/>
          <w:sz w:val="25"/>
          <w:szCs w:val="25"/>
        </w:rPr>
        <w:t>initiative</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approach</w:t>
      </w:r>
      <w:proofErr w:type="spellEnd"/>
      <w:r w:rsidR="00906C53" w:rsidRPr="002C1271">
        <w:rPr>
          <w:rFonts w:cs="Times New Roman"/>
          <w:bCs/>
          <w:sz w:val="25"/>
          <w:szCs w:val="25"/>
        </w:rPr>
        <w:t xml:space="preserve"> </w:t>
      </w:r>
      <w:r w:rsidR="00906C53" w:rsidRPr="002C1271">
        <w:rPr>
          <w:rFonts w:cs="Times New Roman"/>
          <w:bCs/>
          <w:sz w:val="25"/>
          <w:szCs w:val="25"/>
          <w:lang w:val="en-US"/>
        </w:rPr>
        <w:t xml:space="preserve">of </w:t>
      </w:r>
      <w:proofErr w:type="spellStart"/>
      <w:r w:rsidR="00906C53" w:rsidRPr="002C1271">
        <w:rPr>
          <w:rFonts w:cs="Times New Roman"/>
          <w:bCs/>
          <w:sz w:val="25"/>
          <w:szCs w:val="25"/>
        </w:rPr>
        <w:t>beneficiary</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countries</w:t>
      </w:r>
      <w:proofErr w:type="spellEnd"/>
      <w:r w:rsidR="00906C53" w:rsidRPr="002C1271">
        <w:rPr>
          <w:rFonts w:cs="Times New Roman"/>
          <w:bCs/>
          <w:sz w:val="25"/>
          <w:szCs w:val="25"/>
          <w:lang w:val="en-US"/>
        </w:rPr>
        <w:t>`</w:t>
      </w:r>
      <w:r w:rsidR="00906C53" w:rsidRPr="002C1271">
        <w:rPr>
          <w:rFonts w:cs="Times New Roman"/>
          <w:bCs/>
          <w:sz w:val="25"/>
          <w:szCs w:val="25"/>
        </w:rPr>
        <w:t xml:space="preserve"> </w:t>
      </w:r>
      <w:proofErr w:type="spellStart"/>
      <w:r w:rsidRPr="002C1271">
        <w:rPr>
          <w:rFonts w:cs="Times New Roman"/>
          <w:bCs/>
          <w:sz w:val="25"/>
          <w:szCs w:val="25"/>
        </w:rPr>
        <w:t>administrations</w:t>
      </w:r>
      <w:proofErr w:type="spellEnd"/>
      <w:r w:rsidRPr="002C1271">
        <w:rPr>
          <w:rFonts w:cs="Times New Roman"/>
          <w:bCs/>
          <w:sz w:val="25"/>
          <w:szCs w:val="25"/>
        </w:rPr>
        <w:t>, self-</w:t>
      </w:r>
      <w:proofErr w:type="spellStart"/>
      <w:r w:rsidRPr="002C1271">
        <w:rPr>
          <w:rFonts w:cs="Times New Roman"/>
          <w:bCs/>
          <w:sz w:val="25"/>
          <w:szCs w:val="25"/>
        </w:rPr>
        <w:t>determination</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their</w:t>
      </w:r>
      <w:proofErr w:type="spellEnd"/>
      <w:r w:rsidRPr="002C1271">
        <w:rPr>
          <w:rFonts w:cs="Times New Roman"/>
          <w:bCs/>
          <w:sz w:val="25"/>
          <w:szCs w:val="25"/>
        </w:rPr>
        <w:t xml:space="preserve"> </w:t>
      </w:r>
      <w:proofErr w:type="spellStart"/>
      <w:r w:rsidRPr="002C1271">
        <w:rPr>
          <w:rFonts w:cs="Times New Roman"/>
          <w:bCs/>
          <w:sz w:val="25"/>
          <w:szCs w:val="25"/>
        </w:rPr>
        <w:t>needs</w:t>
      </w:r>
      <w:proofErr w:type="spellEnd"/>
      <w:r w:rsidRPr="002C1271">
        <w:rPr>
          <w:rFonts w:cs="Times New Roman"/>
          <w:bCs/>
          <w:sz w:val="25"/>
          <w:szCs w:val="25"/>
        </w:rPr>
        <w:t xml:space="preserve">, </w:t>
      </w:r>
      <w:proofErr w:type="spellStart"/>
      <w:r w:rsidRPr="002C1271">
        <w:rPr>
          <w:rFonts w:cs="Times New Roman"/>
          <w:bCs/>
          <w:sz w:val="25"/>
          <w:szCs w:val="25"/>
        </w:rPr>
        <w:t>preparation</w:t>
      </w:r>
      <w:proofErr w:type="spellEnd"/>
      <w:r w:rsidRPr="002C1271">
        <w:rPr>
          <w:rFonts w:cs="Times New Roman"/>
          <w:bCs/>
          <w:sz w:val="25"/>
          <w:szCs w:val="25"/>
        </w:rPr>
        <w:t xml:space="preserve"> </w:t>
      </w:r>
      <w:proofErr w:type="spellStart"/>
      <w:r w:rsidRPr="002C1271">
        <w:rPr>
          <w:rFonts w:cs="Times New Roman"/>
          <w:bCs/>
          <w:sz w:val="25"/>
          <w:szCs w:val="25"/>
        </w:rPr>
        <w:t>and</w:t>
      </w:r>
      <w:proofErr w:type="spellEnd"/>
      <w:r w:rsidRPr="002C1271">
        <w:rPr>
          <w:rFonts w:cs="Times New Roman"/>
          <w:bCs/>
          <w:sz w:val="25"/>
          <w:szCs w:val="25"/>
        </w:rPr>
        <w:t xml:space="preserve"> </w:t>
      </w:r>
      <w:proofErr w:type="spellStart"/>
      <w:r w:rsidRPr="002C1271">
        <w:rPr>
          <w:rFonts w:cs="Times New Roman"/>
          <w:bCs/>
          <w:sz w:val="25"/>
          <w:szCs w:val="25"/>
        </w:rPr>
        <w:t>filing</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applications</w:t>
      </w:r>
      <w:proofErr w:type="spellEnd"/>
      <w:r w:rsidRPr="002C1271">
        <w:rPr>
          <w:rFonts w:cs="Times New Roman"/>
          <w:bCs/>
          <w:sz w:val="25"/>
          <w:szCs w:val="25"/>
        </w:rPr>
        <w:t xml:space="preserve">, </w:t>
      </w:r>
      <w:proofErr w:type="spellStart"/>
      <w:r w:rsidRPr="002C1271">
        <w:rPr>
          <w:rFonts w:cs="Times New Roman"/>
          <w:bCs/>
          <w:sz w:val="25"/>
          <w:szCs w:val="25"/>
        </w:rPr>
        <w:t>mobility</w:t>
      </w:r>
      <w:proofErr w:type="spellEnd"/>
      <w:r w:rsidRPr="002C1271">
        <w:rPr>
          <w:rFonts w:cs="Times New Roman"/>
          <w:bCs/>
          <w:sz w:val="25"/>
          <w:szCs w:val="25"/>
        </w:rPr>
        <w:t xml:space="preserve"> (</w:t>
      </w:r>
      <w:r w:rsidR="00906C53" w:rsidRPr="002C1271">
        <w:rPr>
          <w:rFonts w:cs="Times New Roman"/>
          <w:bCs/>
          <w:sz w:val="25"/>
          <w:szCs w:val="25"/>
          <w:lang w:val="en-US"/>
        </w:rPr>
        <w:t>it takes</w:t>
      </w:r>
      <w:r w:rsidR="00906C53" w:rsidRPr="002C1271">
        <w:rPr>
          <w:rFonts w:cs="Times New Roman"/>
          <w:bCs/>
          <w:sz w:val="25"/>
          <w:szCs w:val="25"/>
        </w:rPr>
        <w:t xml:space="preserve"> </w:t>
      </w:r>
      <w:proofErr w:type="spellStart"/>
      <w:r w:rsidR="00906C53" w:rsidRPr="002C1271">
        <w:rPr>
          <w:rFonts w:cs="Times New Roman"/>
          <w:bCs/>
          <w:sz w:val="25"/>
          <w:szCs w:val="25"/>
        </w:rPr>
        <w:t>two</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up</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to</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three</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months</w:t>
      </w:r>
      <w:proofErr w:type="spellEnd"/>
      <w:r w:rsidR="00906C53" w:rsidRPr="002C1271">
        <w:rPr>
          <w:rFonts w:cs="Times New Roman"/>
          <w:bCs/>
          <w:sz w:val="25"/>
          <w:szCs w:val="25"/>
        </w:rPr>
        <w:t xml:space="preserve"> </w:t>
      </w:r>
      <w:proofErr w:type="spellStart"/>
      <w:r w:rsidRPr="002C1271">
        <w:rPr>
          <w:rFonts w:cs="Times New Roman"/>
          <w:bCs/>
          <w:sz w:val="25"/>
          <w:szCs w:val="25"/>
        </w:rPr>
        <w:t>from</w:t>
      </w:r>
      <w:proofErr w:type="spellEnd"/>
      <w:r w:rsidRPr="002C1271">
        <w:rPr>
          <w:rFonts w:cs="Times New Roman"/>
          <w:bCs/>
          <w:sz w:val="25"/>
          <w:szCs w:val="25"/>
        </w:rPr>
        <w:t xml:space="preserve"> </w:t>
      </w:r>
      <w:proofErr w:type="spellStart"/>
      <w:r w:rsidRPr="002C1271">
        <w:rPr>
          <w:rFonts w:cs="Times New Roman"/>
          <w:bCs/>
          <w:sz w:val="25"/>
          <w:szCs w:val="25"/>
        </w:rPr>
        <w:t>online</w:t>
      </w:r>
      <w:proofErr w:type="spellEnd"/>
      <w:r w:rsidRPr="002C1271">
        <w:rPr>
          <w:rFonts w:cs="Times New Roman"/>
          <w:bCs/>
          <w:sz w:val="25"/>
          <w:szCs w:val="25"/>
        </w:rPr>
        <w:t xml:space="preserve"> </w:t>
      </w:r>
      <w:proofErr w:type="spellStart"/>
      <w:r w:rsidRPr="002C1271">
        <w:rPr>
          <w:rFonts w:cs="Times New Roman"/>
          <w:bCs/>
          <w:sz w:val="25"/>
          <w:szCs w:val="25"/>
        </w:rPr>
        <w:t>application</w:t>
      </w:r>
      <w:proofErr w:type="spellEnd"/>
      <w:r w:rsidRPr="002C1271">
        <w:rPr>
          <w:rFonts w:cs="Times New Roman"/>
          <w:bCs/>
          <w:sz w:val="25"/>
          <w:szCs w:val="25"/>
        </w:rPr>
        <w:t xml:space="preserve"> </w:t>
      </w:r>
      <w:proofErr w:type="spellStart"/>
      <w:r w:rsidRPr="002C1271">
        <w:rPr>
          <w:rFonts w:cs="Times New Roman"/>
          <w:bCs/>
          <w:sz w:val="25"/>
          <w:szCs w:val="25"/>
        </w:rPr>
        <w:t>to</w:t>
      </w:r>
      <w:proofErr w:type="spellEnd"/>
      <w:r w:rsidRPr="002C1271">
        <w:rPr>
          <w:rFonts w:cs="Times New Roman"/>
          <w:bCs/>
          <w:sz w:val="25"/>
          <w:szCs w:val="25"/>
        </w:rPr>
        <w:t xml:space="preserve"> </w:t>
      </w:r>
      <w:proofErr w:type="spellStart"/>
      <w:r w:rsidRPr="002C1271">
        <w:rPr>
          <w:rFonts w:cs="Times New Roman"/>
          <w:bCs/>
          <w:sz w:val="25"/>
          <w:szCs w:val="25"/>
        </w:rPr>
        <w:t>assistance</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which</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makes</w:t>
      </w:r>
      <w:proofErr w:type="spellEnd"/>
      <w:r w:rsidR="00906C53" w:rsidRPr="002C1271">
        <w:rPr>
          <w:rFonts w:cs="Times New Roman"/>
          <w:bCs/>
          <w:sz w:val="25"/>
          <w:szCs w:val="25"/>
        </w:rPr>
        <w:t xml:space="preserve"> </w:t>
      </w:r>
      <w:r w:rsidR="00906C53" w:rsidRPr="002C1271">
        <w:rPr>
          <w:rFonts w:cs="Times New Roman"/>
          <w:bCs/>
          <w:sz w:val="25"/>
          <w:szCs w:val="25"/>
          <w:lang w:val="en-US"/>
        </w:rPr>
        <w:t>usage</w:t>
      </w:r>
      <w:r w:rsidR="00906C53" w:rsidRPr="002C1271">
        <w:rPr>
          <w:rFonts w:cs="Times New Roman"/>
          <w:bCs/>
          <w:sz w:val="25"/>
          <w:szCs w:val="25"/>
        </w:rPr>
        <w:t xml:space="preserve"> </w:t>
      </w:r>
      <w:proofErr w:type="spellStart"/>
      <w:r w:rsidRPr="002C1271">
        <w:rPr>
          <w:rFonts w:cs="Times New Roman"/>
          <w:bCs/>
          <w:sz w:val="25"/>
          <w:szCs w:val="25"/>
        </w:rPr>
        <w:t>possible</w:t>
      </w:r>
      <w:proofErr w:type="spellEnd"/>
      <w:r w:rsidRPr="002C1271">
        <w:rPr>
          <w:rFonts w:cs="Times New Roman"/>
          <w:bCs/>
          <w:sz w:val="25"/>
          <w:szCs w:val="25"/>
        </w:rPr>
        <w:t xml:space="preserve"> </w:t>
      </w:r>
      <w:proofErr w:type="spellStart"/>
      <w:r w:rsidRPr="002C1271">
        <w:rPr>
          <w:rFonts w:cs="Times New Roman"/>
          <w:bCs/>
          <w:sz w:val="25"/>
          <w:szCs w:val="25"/>
        </w:rPr>
        <w:t>to</w:t>
      </w:r>
      <w:proofErr w:type="spellEnd"/>
      <w:r w:rsidRPr="002C1271">
        <w:rPr>
          <w:rFonts w:cs="Times New Roman"/>
          <w:bCs/>
          <w:sz w:val="25"/>
          <w:szCs w:val="25"/>
        </w:rPr>
        <w:t xml:space="preserve"> </w:t>
      </w:r>
      <w:proofErr w:type="spellStart"/>
      <w:r w:rsidRPr="002C1271">
        <w:rPr>
          <w:rFonts w:cs="Times New Roman"/>
          <w:bCs/>
          <w:sz w:val="25"/>
          <w:szCs w:val="25"/>
        </w:rPr>
        <w:t>solve</w:t>
      </w:r>
      <w:proofErr w:type="spellEnd"/>
      <w:r w:rsidRPr="002C1271">
        <w:rPr>
          <w:rFonts w:cs="Times New Roman"/>
          <w:bCs/>
          <w:sz w:val="25"/>
          <w:szCs w:val="25"/>
        </w:rPr>
        <w:t xml:space="preserve"> </w:t>
      </w:r>
      <w:proofErr w:type="spellStart"/>
      <w:r w:rsidRPr="002C1271">
        <w:rPr>
          <w:rFonts w:cs="Times New Roman"/>
          <w:bCs/>
          <w:sz w:val="25"/>
          <w:szCs w:val="25"/>
        </w:rPr>
        <w:t>urgent</w:t>
      </w:r>
      <w:proofErr w:type="spellEnd"/>
      <w:r w:rsidRPr="002C1271">
        <w:rPr>
          <w:rFonts w:cs="Times New Roman"/>
          <w:bCs/>
          <w:sz w:val="25"/>
          <w:szCs w:val="25"/>
        </w:rPr>
        <w:t xml:space="preserve"> </w:t>
      </w:r>
      <w:proofErr w:type="spellStart"/>
      <w:r w:rsidRPr="002C1271">
        <w:rPr>
          <w:rFonts w:cs="Times New Roman"/>
          <w:bCs/>
          <w:sz w:val="25"/>
          <w:szCs w:val="25"/>
        </w:rPr>
        <w:t>issues</w:t>
      </w:r>
      <w:proofErr w:type="spellEnd"/>
      <w:r w:rsidRPr="002C1271">
        <w:rPr>
          <w:rFonts w:cs="Times New Roman"/>
          <w:bCs/>
          <w:sz w:val="25"/>
          <w:szCs w:val="25"/>
        </w:rPr>
        <w:t>.</w:t>
      </w:r>
    </w:p>
    <w:p w:rsidR="001A4543" w:rsidRPr="002C1271" w:rsidRDefault="001A4543" w:rsidP="001A4543">
      <w:pPr>
        <w:spacing w:after="120" w:line="276" w:lineRule="auto"/>
        <w:rPr>
          <w:rFonts w:cs="Times New Roman"/>
          <w:bCs/>
          <w:i/>
          <w:sz w:val="25"/>
          <w:szCs w:val="25"/>
        </w:rPr>
      </w:pPr>
      <w:r w:rsidRPr="002C1271">
        <w:rPr>
          <w:rFonts w:cs="Times New Roman"/>
          <w:bCs/>
          <w:sz w:val="25"/>
          <w:szCs w:val="25"/>
          <w:lang w:val="en-US"/>
        </w:rPr>
        <w:t xml:space="preserve">Implementation of external assistance of the European Commission within the framework of TAIEX instrument in Ukraine is carried out in accordance with the </w:t>
      </w:r>
      <w:r w:rsidRPr="002C1271">
        <w:rPr>
          <w:rFonts w:cs="Times New Roman"/>
          <w:bCs/>
          <w:i/>
          <w:sz w:val="25"/>
          <w:szCs w:val="25"/>
          <w:lang w:val="en-US"/>
        </w:rPr>
        <w:t>Resolution of the Cabinet of Ministers of Ukraine “On Approval of the Procedure of Preparation, Approval and Realization of the Action Plan on Involvement of External Assistance of the European Commission within the framework of TAIEX” as of 13 January, 2016 No 32.</w:t>
      </w:r>
    </w:p>
    <w:p w:rsidR="001A4543" w:rsidRPr="002C1271" w:rsidRDefault="001A4543" w:rsidP="001A4543">
      <w:pPr>
        <w:spacing w:after="120" w:line="276" w:lineRule="auto"/>
        <w:rPr>
          <w:rFonts w:cs="Times New Roman"/>
          <w:sz w:val="25"/>
          <w:szCs w:val="25"/>
        </w:rPr>
      </w:pPr>
      <w:r w:rsidRPr="002C1271">
        <w:rPr>
          <w:rFonts w:cs="Times New Roman"/>
          <w:b/>
          <w:bCs/>
          <w:sz w:val="25"/>
          <w:szCs w:val="25"/>
          <w:lang w:val="en-US"/>
        </w:rPr>
        <w:t xml:space="preserve">National Agency of Ukraine on Civil Service </w:t>
      </w:r>
      <w:r w:rsidRPr="002C1271">
        <w:rPr>
          <w:rFonts w:cs="Times New Roman"/>
          <w:sz w:val="25"/>
          <w:szCs w:val="25"/>
          <w:lang w:val="en-US"/>
        </w:rPr>
        <w:t>is the coordinator of institutional building instrument TAIEX implementation.</w:t>
      </w:r>
    </w:p>
    <w:p w:rsidR="001A4543" w:rsidRPr="002C1271" w:rsidRDefault="001A4543" w:rsidP="001A4543">
      <w:pPr>
        <w:spacing w:after="120" w:line="276" w:lineRule="auto"/>
        <w:contextualSpacing/>
        <w:jc w:val="left"/>
        <w:rPr>
          <w:rFonts w:cs="Times New Roman"/>
          <w:color w:val="000000" w:themeColor="text1"/>
          <w:sz w:val="25"/>
          <w:szCs w:val="25"/>
        </w:rPr>
      </w:pPr>
      <w:r w:rsidRPr="002C1271">
        <w:rPr>
          <w:rFonts w:cs="Times New Roman"/>
          <w:b/>
          <w:bCs/>
          <w:color w:val="000000" w:themeColor="text1"/>
          <w:sz w:val="25"/>
          <w:szCs w:val="25"/>
          <w:lang w:val="en-US"/>
        </w:rPr>
        <w:t>TAIEX</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instrument</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is</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aimed</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at</w:t>
      </w:r>
      <w:r w:rsidRPr="002C1271">
        <w:rPr>
          <w:rFonts w:cs="Times New Roman"/>
          <w:b/>
          <w:bCs/>
          <w:color w:val="000000" w:themeColor="text1"/>
          <w:sz w:val="25"/>
          <w:szCs w:val="25"/>
        </w:rPr>
        <w:t>:</w:t>
      </w:r>
    </w:p>
    <w:p w:rsidR="001A4543" w:rsidRPr="002C1271" w:rsidRDefault="001A4543" w:rsidP="001A4543">
      <w:pPr>
        <w:numPr>
          <w:ilvl w:val="0"/>
          <w:numId w:val="1"/>
        </w:numPr>
        <w:spacing w:after="120" w:line="276" w:lineRule="auto"/>
        <w:contextualSpacing/>
        <w:jc w:val="left"/>
        <w:rPr>
          <w:rFonts w:cs="Times New Roman"/>
          <w:color w:val="000000" w:themeColor="text1"/>
          <w:sz w:val="25"/>
          <w:szCs w:val="25"/>
          <w:lang w:val="en-US"/>
        </w:rPr>
      </w:pPr>
      <w:r w:rsidRPr="002C1271">
        <w:rPr>
          <w:rFonts w:cs="Times New Roman"/>
          <w:color w:val="000000" w:themeColor="text1"/>
          <w:sz w:val="25"/>
          <w:szCs w:val="25"/>
          <w:lang w:val="en-US"/>
        </w:rPr>
        <w:t xml:space="preserve">approximation, implementation of the national legislation to </w:t>
      </w:r>
      <w:proofErr w:type="spellStart"/>
      <w:r w:rsidRPr="002C1271">
        <w:rPr>
          <w:rFonts w:cs="Times New Roman"/>
          <w:color w:val="000000" w:themeColor="text1"/>
          <w:sz w:val="25"/>
          <w:szCs w:val="25"/>
          <w:lang w:val="en-US"/>
        </w:rPr>
        <w:t>acquis</w:t>
      </w:r>
      <w:proofErr w:type="spellEnd"/>
      <w:r w:rsidRPr="002C1271">
        <w:rPr>
          <w:rFonts w:cs="Times New Roman"/>
          <w:color w:val="000000" w:themeColor="text1"/>
          <w:sz w:val="25"/>
          <w:szCs w:val="25"/>
          <w:lang w:val="en-US"/>
        </w:rPr>
        <w:t xml:space="preserve"> </w:t>
      </w:r>
      <w:proofErr w:type="spellStart"/>
      <w:r w:rsidRPr="002C1271">
        <w:rPr>
          <w:rFonts w:cs="Times New Roman"/>
          <w:color w:val="000000" w:themeColor="text1"/>
          <w:sz w:val="25"/>
          <w:szCs w:val="25"/>
          <w:lang w:val="en-US"/>
        </w:rPr>
        <w:t>communautaire</w:t>
      </w:r>
      <w:proofErr w:type="spellEnd"/>
      <w:r w:rsidRPr="002C1271">
        <w:rPr>
          <w:rFonts w:cs="Times New Roman"/>
          <w:color w:val="000000" w:themeColor="text1"/>
          <w:sz w:val="25"/>
          <w:szCs w:val="25"/>
          <w:lang w:val="en-US"/>
        </w:rPr>
        <w:t>;</w:t>
      </w:r>
    </w:p>
    <w:p w:rsidR="001A4543" w:rsidRPr="002C1271" w:rsidRDefault="001A4543" w:rsidP="001A4543">
      <w:pPr>
        <w:numPr>
          <w:ilvl w:val="0"/>
          <w:numId w:val="1"/>
        </w:numPr>
        <w:spacing w:after="120" w:line="276" w:lineRule="auto"/>
        <w:contextualSpacing/>
        <w:jc w:val="left"/>
        <w:rPr>
          <w:rFonts w:cs="Times New Roman"/>
          <w:color w:val="000000" w:themeColor="text1"/>
          <w:sz w:val="25"/>
          <w:szCs w:val="25"/>
          <w:lang w:val="en-US"/>
        </w:rPr>
      </w:pPr>
      <w:r w:rsidRPr="002C1271">
        <w:rPr>
          <w:rFonts w:cs="Times New Roman"/>
          <w:color w:val="000000" w:themeColor="text1"/>
          <w:sz w:val="25"/>
          <w:szCs w:val="25"/>
          <w:lang w:val="en-US"/>
        </w:rPr>
        <w:lastRenderedPageBreak/>
        <w:t>institutional development of government authorities;</w:t>
      </w:r>
    </w:p>
    <w:p w:rsidR="001A4543" w:rsidRPr="002C1271" w:rsidRDefault="001A4543" w:rsidP="001A4543">
      <w:pPr>
        <w:numPr>
          <w:ilvl w:val="0"/>
          <w:numId w:val="1"/>
        </w:numPr>
        <w:spacing w:after="120" w:line="276" w:lineRule="auto"/>
        <w:contextualSpacing/>
        <w:jc w:val="left"/>
        <w:rPr>
          <w:rFonts w:cs="Times New Roman"/>
          <w:color w:val="000000" w:themeColor="text1"/>
          <w:sz w:val="25"/>
          <w:szCs w:val="25"/>
        </w:rPr>
      </w:pPr>
      <w:proofErr w:type="gramStart"/>
      <w:r w:rsidRPr="002C1271">
        <w:rPr>
          <w:rFonts w:cs="Times New Roman"/>
          <w:color w:val="000000" w:themeColor="text1"/>
          <w:sz w:val="25"/>
          <w:szCs w:val="25"/>
          <w:lang w:val="en-US"/>
        </w:rPr>
        <w:t>professional</w:t>
      </w:r>
      <w:proofErr w:type="gramEnd"/>
      <w:r w:rsidRPr="002C1271">
        <w:rPr>
          <w:rFonts w:cs="Times New Roman"/>
          <w:color w:val="000000" w:themeColor="text1"/>
          <w:sz w:val="25"/>
          <w:szCs w:val="25"/>
          <w:lang w:val="en-US"/>
        </w:rPr>
        <w:t xml:space="preserve"> development of civil servants.</w:t>
      </w:r>
    </w:p>
    <w:p w:rsidR="00985675" w:rsidRPr="002C1271" w:rsidRDefault="00985675" w:rsidP="00985675">
      <w:pPr>
        <w:spacing w:after="120" w:line="276" w:lineRule="auto"/>
        <w:jc w:val="left"/>
        <w:rPr>
          <w:rFonts w:cs="Times New Roman"/>
          <w:b/>
          <w:bCs/>
          <w:color w:val="000000" w:themeColor="text1"/>
          <w:sz w:val="25"/>
          <w:szCs w:val="25"/>
        </w:rPr>
      </w:pPr>
      <w:r w:rsidRPr="002C1271">
        <w:rPr>
          <w:rFonts w:cs="Times New Roman"/>
          <w:b/>
          <w:bCs/>
          <w:iCs/>
          <w:color w:val="000000" w:themeColor="text1"/>
          <w:sz w:val="25"/>
          <w:szCs w:val="25"/>
          <w:lang w:val="en-US"/>
        </w:rPr>
        <w:br/>
      </w:r>
      <w:r w:rsidRPr="002C1271">
        <w:rPr>
          <w:rFonts w:cs="Times New Roman"/>
          <w:b/>
          <w:bCs/>
          <w:color w:val="000000" w:themeColor="text1"/>
          <w:sz w:val="25"/>
          <w:szCs w:val="25"/>
        </w:rPr>
        <w:t xml:space="preserve">TAIEX </w:t>
      </w:r>
      <w:proofErr w:type="spellStart"/>
      <w:r w:rsidRPr="002C1271">
        <w:rPr>
          <w:rFonts w:cs="Times New Roman"/>
          <w:b/>
          <w:bCs/>
          <w:color w:val="000000" w:themeColor="text1"/>
          <w:sz w:val="25"/>
          <w:szCs w:val="25"/>
        </w:rPr>
        <w:t>target</w:t>
      </w:r>
      <w:proofErr w:type="spellEnd"/>
      <w:r w:rsidRPr="002C1271">
        <w:rPr>
          <w:rFonts w:cs="Times New Roman"/>
          <w:b/>
          <w:bCs/>
          <w:color w:val="000000" w:themeColor="text1"/>
          <w:sz w:val="25"/>
          <w:szCs w:val="25"/>
        </w:rPr>
        <w:t xml:space="preserve"> </w:t>
      </w:r>
      <w:proofErr w:type="spellStart"/>
      <w:r w:rsidRPr="002C1271">
        <w:rPr>
          <w:rFonts w:cs="Times New Roman"/>
          <w:b/>
          <w:bCs/>
          <w:color w:val="000000" w:themeColor="text1"/>
          <w:sz w:val="25"/>
          <w:szCs w:val="25"/>
        </w:rPr>
        <w:t>groups</w:t>
      </w:r>
      <w:proofErr w:type="spellEnd"/>
      <w:r w:rsidRPr="002C1271">
        <w:rPr>
          <w:rFonts w:cs="Times New Roman"/>
          <w:b/>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spellStart"/>
      <w:r w:rsidRPr="002C1271">
        <w:rPr>
          <w:rFonts w:cs="Times New Roman"/>
          <w:bCs/>
          <w:color w:val="000000" w:themeColor="text1"/>
          <w:sz w:val="25"/>
          <w:szCs w:val="25"/>
        </w:rPr>
        <w:t>civil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servants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working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in</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central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executive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spellStart"/>
      <w:r w:rsidRPr="002C1271">
        <w:rPr>
          <w:rFonts w:cs="Times New Roman"/>
          <w:bCs/>
          <w:color w:val="000000" w:themeColor="text1"/>
          <w:sz w:val="25"/>
          <w:szCs w:val="25"/>
        </w:rPr>
        <w:t>civil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servants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working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in</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local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executive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associations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of</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local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authorities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r w:rsidRPr="002C1271">
        <w:rPr>
          <w:rFonts w:cs="Times New Roman"/>
          <w:bCs/>
          <w:color w:val="000000" w:themeColor="text1"/>
          <w:sz w:val="25"/>
          <w:szCs w:val="25"/>
          <w:lang w:val="en-US"/>
        </w:rPr>
        <w:t>judicial bodies</w:t>
      </w:r>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law</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enforcement</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agencies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spellStart"/>
      <w:r w:rsidRPr="002C1271">
        <w:rPr>
          <w:rFonts w:cs="Times New Roman"/>
          <w:bCs/>
          <w:color w:val="000000" w:themeColor="text1"/>
          <w:sz w:val="25"/>
          <w:szCs w:val="25"/>
        </w:rPr>
        <w:t>members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of</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legislative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civil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servants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working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in</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legislative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local</w:t>
      </w:r>
      <w:proofErr w:type="spellEnd"/>
      <w:r w:rsidRPr="002C1271">
        <w:rPr>
          <w:rFonts w:cs="Times New Roman"/>
          <w:bCs/>
          <w:color w:val="000000" w:themeColor="text1"/>
          <w:sz w:val="25"/>
          <w:szCs w:val="25"/>
        </w:rPr>
        <w:t xml:space="preserve"> self-</w:t>
      </w:r>
      <w:proofErr w:type="spellStart"/>
      <w:r w:rsidRPr="002C1271">
        <w:rPr>
          <w:rFonts w:cs="Times New Roman"/>
          <w:bCs/>
          <w:color w:val="000000" w:themeColor="text1"/>
          <w:sz w:val="25"/>
          <w:szCs w:val="25"/>
        </w:rPr>
        <w:t>government</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authorities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gramStart"/>
      <w:r w:rsidRPr="002C1271">
        <w:rPr>
          <w:rFonts w:cs="Times New Roman"/>
          <w:bCs/>
          <w:color w:val="000000" w:themeColor="text1"/>
          <w:sz w:val="25"/>
          <w:szCs w:val="25"/>
          <w:lang w:val="en-US"/>
        </w:rPr>
        <w:t>p</w:t>
      </w:r>
      <w:proofErr w:type="spellStart"/>
      <w:r w:rsidRPr="002C1271">
        <w:rPr>
          <w:rFonts w:cs="Times New Roman"/>
          <w:bCs/>
          <w:color w:val="000000" w:themeColor="text1"/>
          <w:sz w:val="25"/>
          <w:szCs w:val="25"/>
        </w:rPr>
        <w:t>rofessional</w:t>
      </w:r>
      <w:proofErr w:type="spellEnd"/>
      <w:proofErr w:type="gram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commercial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associations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representing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social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partners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representatives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of</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trade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unions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employers'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unions</w:t>
      </w:r>
      <w:proofErr w:type="spellEnd"/>
      <w:r w:rsidRPr="002C1271">
        <w:rPr>
          <w:rFonts w:cs="Times New Roman"/>
          <w:bCs/>
          <w:color w:val="000000" w:themeColor="text1"/>
          <w:sz w:val="25"/>
          <w:szCs w:val="25"/>
        </w:rPr>
        <w:t>.</w:t>
      </w:r>
    </w:p>
    <w:p w:rsidR="00604034" w:rsidRPr="002C1271" w:rsidRDefault="00815289" w:rsidP="00604034">
      <w:pPr>
        <w:spacing w:after="120" w:line="276" w:lineRule="auto"/>
        <w:rPr>
          <w:rFonts w:cs="Times New Roman"/>
          <w:color w:val="000000" w:themeColor="text1"/>
          <w:sz w:val="25"/>
          <w:szCs w:val="25"/>
        </w:rPr>
      </w:pPr>
      <w:r w:rsidRPr="002C1271">
        <w:rPr>
          <w:rFonts w:cs="Times New Roman"/>
          <w:color w:val="000000" w:themeColor="text1"/>
          <w:sz w:val="25"/>
          <w:szCs w:val="25"/>
          <w:lang w:val="en-US"/>
        </w:rPr>
        <w:t xml:space="preserve">Since the beginning of implementing the TAIEX instrument, as of </w:t>
      </w:r>
      <w:r w:rsidR="00532D5F">
        <w:rPr>
          <w:rFonts w:cs="Times New Roman"/>
          <w:b/>
          <w:color w:val="000000" w:themeColor="text1"/>
          <w:szCs w:val="25"/>
          <w:lang w:val="en-US"/>
        </w:rPr>
        <w:t>01</w:t>
      </w:r>
      <w:r w:rsidR="0047532B" w:rsidRPr="00815289">
        <w:rPr>
          <w:rFonts w:cs="Times New Roman"/>
          <w:b/>
          <w:color w:val="000000" w:themeColor="text1"/>
          <w:szCs w:val="25"/>
          <w:lang w:val="en-US"/>
        </w:rPr>
        <w:t> </w:t>
      </w:r>
      <w:r w:rsidR="00532D5F">
        <w:rPr>
          <w:rFonts w:cs="Times New Roman"/>
          <w:b/>
          <w:color w:val="000000" w:themeColor="text1"/>
          <w:szCs w:val="25"/>
          <w:lang w:val="en-US"/>
        </w:rPr>
        <w:t>Novem</w:t>
      </w:r>
      <w:r w:rsidR="002F3E2D">
        <w:rPr>
          <w:rFonts w:cs="Times New Roman"/>
          <w:b/>
          <w:color w:val="000000" w:themeColor="text1"/>
          <w:szCs w:val="25"/>
          <w:lang w:val="en-US"/>
        </w:rPr>
        <w:t>ber</w:t>
      </w:r>
      <w:r w:rsidRPr="002C1271">
        <w:rPr>
          <w:rFonts w:cs="Times New Roman"/>
          <w:b/>
          <w:bCs/>
          <w:color w:val="000000" w:themeColor="text1"/>
          <w:sz w:val="25"/>
          <w:szCs w:val="25"/>
          <w:lang w:val="en-US"/>
        </w:rPr>
        <w:t xml:space="preserve">, 2019  </w:t>
      </w:r>
      <w:r w:rsidR="00661B37" w:rsidRPr="00661B37">
        <w:rPr>
          <w:rFonts w:cs="Times New Roman"/>
          <w:bCs/>
          <w:i/>
          <w:color w:val="000000" w:themeColor="text1"/>
          <w:sz w:val="25"/>
          <w:szCs w:val="25"/>
        </w:rPr>
        <w:t>18 </w:t>
      </w:r>
      <w:r w:rsidR="00532D5F">
        <w:rPr>
          <w:rFonts w:cs="Times New Roman"/>
          <w:bCs/>
          <w:i/>
          <w:color w:val="000000" w:themeColor="text1"/>
          <w:sz w:val="25"/>
          <w:szCs w:val="25"/>
          <w:lang w:val="en-US"/>
        </w:rPr>
        <w:t>929</w:t>
      </w:r>
      <w:r w:rsidR="00661B37" w:rsidRPr="00661B37">
        <w:rPr>
          <w:rFonts w:cs="Times New Roman"/>
          <w:bCs/>
          <w:i/>
          <w:color w:val="000000" w:themeColor="text1"/>
          <w:sz w:val="25"/>
          <w:szCs w:val="25"/>
        </w:rPr>
        <w:t> </w:t>
      </w:r>
      <w:r w:rsidRPr="002C1271">
        <w:rPr>
          <w:rFonts w:cs="Times New Roman"/>
          <w:i/>
          <w:color w:val="000000" w:themeColor="text1"/>
          <w:sz w:val="25"/>
          <w:szCs w:val="25"/>
          <w:lang w:val="en-US"/>
        </w:rPr>
        <w:t xml:space="preserve">representatives </w:t>
      </w:r>
      <w:r w:rsidRPr="002C1271">
        <w:rPr>
          <w:rFonts w:cs="Times New Roman"/>
          <w:color w:val="000000" w:themeColor="text1"/>
          <w:sz w:val="25"/>
          <w:szCs w:val="25"/>
          <w:lang w:val="en-US"/>
        </w:rPr>
        <w:t xml:space="preserve">of Ukrainian government authorities participated in у </w:t>
      </w:r>
      <w:r w:rsidRPr="002C1271">
        <w:rPr>
          <w:rFonts w:cs="Times New Roman"/>
          <w:bCs/>
          <w:i/>
          <w:color w:val="000000" w:themeColor="text1"/>
          <w:sz w:val="25"/>
          <w:szCs w:val="25"/>
          <w:lang w:val="en-US"/>
        </w:rPr>
        <w:t>8</w:t>
      </w:r>
      <w:r w:rsidR="00532D5F">
        <w:rPr>
          <w:rFonts w:cs="Times New Roman"/>
          <w:bCs/>
          <w:i/>
          <w:color w:val="000000" w:themeColor="text1"/>
          <w:sz w:val="25"/>
          <w:szCs w:val="25"/>
          <w:lang w:val="en-US"/>
        </w:rPr>
        <w:t>2</w:t>
      </w:r>
      <w:r w:rsidR="00661B37">
        <w:rPr>
          <w:rFonts w:cs="Times New Roman"/>
          <w:bCs/>
          <w:i/>
          <w:color w:val="000000" w:themeColor="text1"/>
          <w:sz w:val="25"/>
          <w:szCs w:val="25"/>
          <w:lang w:val="en-US"/>
        </w:rPr>
        <w:t xml:space="preserve">4 </w:t>
      </w:r>
      <w:r w:rsidRPr="002C1271">
        <w:rPr>
          <w:rFonts w:cs="Times New Roman"/>
          <w:i/>
          <w:color w:val="000000" w:themeColor="text1"/>
          <w:sz w:val="25"/>
          <w:szCs w:val="25"/>
          <w:lang w:val="en-US"/>
        </w:rPr>
        <w:t>events</w:t>
      </w:r>
      <w:r w:rsidRPr="002C1271">
        <w:rPr>
          <w:rFonts w:cs="Times New Roman"/>
          <w:color w:val="000000" w:themeColor="text1"/>
          <w:sz w:val="25"/>
          <w:szCs w:val="25"/>
          <w:lang w:val="en-US"/>
        </w:rPr>
        <w:t xml:space="preserve"> organized in the framework of the TAIEX implementation, including </w:t>
      </w:r>
      <w:r w:rsidR="00661B37">
        <w:rPr>
          <w:rFonts w:cs="Times New Roman"/>
          <w:bCs/>
          <w:i/>
          <w:color w:val="000000" w:themeColor="text1"/>
          <w:sz w:val="25"/>
          <w:szCs w:val="25"/>
          <w:lang w:val="en-US"/>
        </w:rPr>
        <w:t>152</w:t>
      </w:r>
      <w:r w:rsidRPr="002C1271">
        <w:rPr>
          <w:rFonts w:cs="Times New Roman"/>
          <w:bCs/>
          <w:i/>
          <w:color w:val="000000" w:themeColor="text1"/>
          <w:sz w:val="25"/>
          <w:szCs w:val="25"/>
          <w:lang w:val="en-US"/>
        </w:rPr>
        <w:t> </w:t>
      </w:r>
      <w:r w:rsidRPr="002C1271">
        <w:rPr>
          <w:rFonts w:cs="Times New Roman"/>
          <w:i/>
          <w:color w:val="000000" w:themeColor="text1"/>
          <w:sz w:val="25"/>
          <w:szCs w:val="25"/>
          <w:lang w:val="en-US"/>
        </w:rPr>
        <w:t xml:space="preserve">events </w:t>
      </w:r>
      <w:r w:rsidRPr="002C1271">
        <w:rPr>
          <w:rFonts w:cs="Times New Roman"/>
          <w:color w:val="000000" w:themeColor="text1"/>
          <w:sz w:val="25"/>
          <w:szCs w:val="25"/>
          <w:lang w:val="en-US"/>
        </w:rPr>
        <w:t xml:space="preserve">initiated by the European Commission and </w:t>
      </w:r>
      <w:r w:rsidR="00661B37">
        <w:rPr>
          <w:rFonts w:cs="Times New Roman"/>
          <w:bCs/>
          <w:i/>
          <w:color w:val="000000" w:themeColor="text1"/>
          <w:sz w:val="25"/>
          <w:szCs w:val="25"/>
          <w:lang w:val="en-US"/>
        </w:rPr>
        <w:t>6</w:t>
      </w:r>
      <w:r w:rsidR="00532D5F">
        <w:rPr>
          <w:rFonts w:cs="Times New Roman"/>
          <w:bCs/>
          <w:i/>
          <w:color w:val="000000" w:themeColor="text1"/>
          <w:sz w:val="25"/>
          <w:szCs w:val="25"/>
          <w:lang w:val="en-US"/>
        </w:rPr>
        <w:t>7</w:t>
      </w:r>
      <w:r w:rsidR="00661B37">
        <w:rPr>
          <w:rFonts w:cs="Times New Roman"/>
          <w:bCs/>
          <w:i/>
          <w:color w:val="000000" w:themeColor="text1"/>
          <w:sz w:val="25"/>
          <w:szCs w:val="25"/>
          <w:lang w:val="en-US"/>
        </w:rPr>
        <w:t>6</w:t>
      </w:r>
      <w:r w:rsidRPr="002C1271">
        <w:rPr>
          <w:rFonts w:cs="Times New Roman"/>
          <w:bCs/>
          <w:i/>
          <w:color w:val="000000" w:themeColor="text1"/>
          <w:sz w:val="25"/>
          <w:szCs w:val="25"/>
          <w:lang w:val="en-US"/>
        </w:rPr>
        <w:t xml:space="preserve"> events </w:t>
      </w:r>
      <w:r w:rsidRPr="002C1271">
        <w:rPr>
          <w:rFonts w:cs="Times New Roman"/>
          <w:color w:val="000000" w:themeColor="text1"/>
          <w:sz w:val="25"/>
          <w:szCs w:val="25"/>
          <w:lang w:val="en-US"/>
        </w:rPr>
        <w:t>initiated by Ukraine</w:t>
      </w:r>
    </w:p>
    <w:p w:rsidR="00604034" w:rsidRPr="00604034" w:rsidRDefault="00532D5F" w:rsidP="00C836E4">
      <w:pPr>
        <w:spacing w:after="120" w:line="276" w:lineRule="auto"/>
        <w:ind w:left="-567"/>
        <w:rPr>
          <w:rFonts w:cs="Times New Roman"/>
          <w:color w:val="000000" w:themeColor="text1"/>
          <w:sz w:val="25"/>
          <w:szCs w:val="25"/>
        </w:rPr>
      </w:pPr>
      <w:r>
        <w:rPr>
          <w:noProof/>
          <w:lang w:eastAsia="uk-UA"/>
        </w:rPr>
        <w:drawing>
          <wp:inline distT="0" distB="0" distL="0" distR="0" wp14:anchorId="5434FC27" wp14:editId="71D95944">
            <wp:extent cx="5940425" cy="2911047"/>
            <wp:effectExtent l="0" t="0" r="22225"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4034" w:rsidRPr="00604034" w:rsidRDefault="00604034" w:rsidP="00604034">
      <w:pPr>
        <w:spacing w:after="120" w:line="276" w:lineRule="auto"/>
        <w:rPr>
          <w:rFonts w:cs="Times New Roman"/>
          <w:color w:val="000000" w:themeColor="text1"/>
          <w:sz w:val="2"/>
          <w:szCs w:val="25"/>
        </w:rPr>
      </w:pPr>
    </w:p>
    <w:p w:rsidR="00815289" w:rsidRPr="00815289" w:rsidRDefault="00604034" w:rsidP="00815289">
      <w:pPr>
        <w:spacing w:after="120" w:line="276" w:lineRule="auto"/>
        <w:rPr>
          <w:rFonts w:cs="Times New Roman"/>
          <w:b/>
          <w:color w:val="000000" w:themeColor="text1"/>
          <w:szCs w:val="25"/>
          <w:lang w:val="en-US"/>
        </w:rPr>
      </w:pPr>
      <w:r w:rsidRPr="00604034">
        <w:rPr>
          <w:rFonts w:cs="Times New Roman"/>
          <w:sz w:val="2"/>
          <w:szCs w:val="25"/>
          <w:highlight w:val="yellow"/>
          <w:lang w:eastAsia="uk-UA"/>
        </w:rPr>
        <w:t xml:space="preserve"> </w:t>
      </w:r>
      <w:proofErr w:type="gramStart"/>
      <w:r w:rsidR="00815289" w:rsidRPr="00815289">
        <w:rPr>
          <w:rFonts w:cs="Times New Roman"/>
          <w:b/>
          <w:color w:val="000000" w:themeColor="text1"/>
          <w:szCs w:val="25"/>
          <w:lang w:val="en-US"/>
        </w:rPr>
        <w:t>Pic.</w:t>
      </w:r>
      <w:proofErr w:type="gramEnd"/>
      <w:r w:rsidR="00815289" w:rsidRPr="00815289">
        <w:rPr>
          <w:rFonts w:cs="Times New Roman"/>
          <w:b/>
          <w:color w:val="000000" w:themeColor="text1"/>
          <w:szCs w:val="25"/>
          <w:lang w:val="en-US"/>
        </w:rPr>
        <w:t xml:space="preserve"> </w:t>
      </w:r>
      <w:r w:rsidR="00815289">
        <w:rPr>
          <w:rFonts w:cs="Times New Roman"/>
          <w:b/>
          <w:color w:val="000000" w:themeColor="text1"/>
          <w:szCs w:val="25"/>
          <w:lang w:val="en-US"/>
        </w:rPr>
        <w:t>1</w:t>
      </w:r>
      <w:r w:rsidR="00815289" w:rsidRPr="00815289">
        <w:rPr>
          <w:rFonts w:cs="Times New Roman"/>
          <w:b/>
          <w:color w:val="000000" w:themeColor="text1"/>
          <w:szCs w:val="25"/>
          <w:lang w:val="en-US"/>
        </w:rPr>
        <w:t xml:space="preserve">. Overview of TAIEX activities in Ukraine </w:t>
      </w:r>
      <w:r w:rsidR="00815289">
        <w:rPr>
          <w:rFonts w:cs="Times New Roman"/>
          <w:b/>
          <w:color w:val="000000" w:themeColor="text1"/>
          <w:szCs w:val="25"/>
          <w:lang w:val="en-US"/>
        </w:rPr>
        <w:t xml:space="preserve">per </w:t>
      </w:r>
      <w:r w:rsidR="00815289" w:rsidRPr="00DE6E6B">
        <w:rPr>
          <w:rFonts w:cstheme="minorHAnsi"/>
          <w:b/>
          <w:color w:val="000000" w:themeColor="text1"/>
          <w:szCs w:val="25"/>
          <w:lang w:val="en-US"/>
        </w:rPr>
        <w:t>type of events</w:t>
      </w:r>
      <w:r w:rsidR="00815289" w:rsidRPr="00815289">
        <w:rPr>
          <w:rFonts w:cs="Times New Roman"/>
          <w:b/>
          <w:color w:val="000000" w:themeColor="text1"/>
          <w:szCs w:val="25"/>
          <w:lang w:val="en-US"/>
        </w:rPr>
        <w:t xml:space="preserve"> (2006 – </w:t>
      </w:r>
      <w:r w:rsidR="00532D5F">
        <w:rPr>
          <w:rFonts w:cs="Times New Roman"/>
          <w:b/>
          <w:color w:val="000000" w:themeColor="text1"/>
          <w:szCs w:val="25"/>
          <w:lang w:val="en-US"/>
        </w:rPr>
        <w:t>01</w:t>
      </w:r>
      <w:r w:rsidR="00532D5F" w:rsidRPr="00815289">
        <w:rPr>
          <w:rFonts w:cs="Times New Roman"/>
          <w:b/>
          <w:color w:val="000000" w:themeColor="text1"/>
          <w:szCs w:val="25"/>
          <w:lang w:val="en-US"/>
        </w:rPr>
        <w:t> </w:t>
      </w:r>
      <w:r w:rsidR="00532D5F">
        <w:rPr>
          <w:rFonts w:cs="Times New Roman"/>
          <w:b/>
          <w:color w:val="000000" w:themeColor="text1"/>
          <w:szCs w:val="25"/>
          <w:lang w:val="en-US"/>
        </w:rPr>
        <w:t>November</w:t>
      </w:r>
      <w:r w:rsidR="00532D5F" w:rsidRPr="002C1271">
        <w:rPr>
          <w:rFonts w:cs="Times New Roman"/>
          <w:b/>
          <w:bCs/>
          <w:color w:val="000000" w:themeColor="text1"/>
          <w:sz w:val="25"/>
          <w:szCs w:val="25"/>
          <w:lang w:val="en-US"/>
        </w:rPr>
        <w:t>, 2019</w:t>
      </w:r>
      <w:r w:rsidR="00815289" w:rsidRPr="00815289">
        <w:rPr>
          <w:rFonts w:cs="Times New Roman"/>
          <w:b/>
          <w:color w:val="000000" w:themeColor="text1"/>
          <w:szCs w:val="25"/>
          <w:lang w:val="en-US"/>
        </w:rPr>
        <w:t>)</w:t>
      </w:r>
    </w:p>
    <w:p w:rsidR="00604034" w:rsidRPr="002C1271" w:rsidRDefault="003F0C2F" w:rsidP="00604034">
      <w:pPr>
        <w:spacing w:after="120" w:line="276" w:lineRule="auto"/>
        <w:rPr>
          <w:rFonts w:cs="Times New Roman"/>
          <w:sz w:val="25"/>
          <w:szCs w:val="25"/>
        </w:rPr>
      </w:pPr>
      <w:r w:rsidRPr="002C1271">
        <w:rPr>
          <w:rFonts w:cs="Times New Roman"/>
          <w:sz w:val="25"/>
          <w:szCs w:val="25"/>
          <w:lang w:val="en-US"/>
        </w:rPr>
        <w:t xml:space="preserve">In </w:t>
      </w:r>
      <w:r w:rsidRPr="002C1271">
        <w:rPr>
          <w:rFonts w:cs="Times New Roman"/>
          <w:b/>
          <w:color w:val="000000" w:themeColor="text1"/>
          <w:sz w:val="25"/>
          <w:szCs w:val="25"/>
        </w:rPr>
        <w:t>2019 </w:t>
      </w:r>
      <w:r w:rsidR="00532D5F">
        <w:rPr>
          <w:rFonts w:cs="Times New Roman"/>
          <w:i/>
          <w:color w:val="000000" w:themeColor="text1"/>
          <w:sz w:val="25"/>
          <w:szCs w:val="25"/>
          <w:lang w:val="en-US"/>
        </w:rPr>
        <w:t>863</w:t>
      </w:r>
      <w:r w:rsidR="00C836E4">
        <w:rPr>
          <w:rFonts w:cs="Times New Roman"/>
          <w:i/>
          <w:color w:val="000000" w:themeColor="text1"/>
          <w:sz w:val="25"/>
          <w:szCs w:val="25"/>
          <w:lang w:val="en-US"/>
        </w:rPr>
        <w:t> </w:t>
      </w:r>
      <w:r w:rsidRPr="002C1271">
        <w:rPr>
          <w:rFonts w:cs="Times New Roman"/>
          <w:i/>
          <w:sz w:val="25"/>
          <w:szCs w:val="25"/>
          <w:lang w:val="en-US"/>
        </w:rPr>
        <w:t xml:space="preserve">representatives </w:t>
      </w:r>
      <w:r w:rsidRPr="002C1271">
        <w:rPr>
          <w:rFonts w:cs="Times New Roman"/>
          <w:sz w:val="25"/>
          <w:szCs w:val="25"/>
          <w:lang w:val="en-US"/>
        </w:rPr>
        <w:t xml:space="preserve">of government authorities took part at </w:t>
      </w:r>
      <w:r w:rsidR="00532D5F" w:rsidRPr="00843533">
        <w:rPr>
          <w:rFonts w:cs="Times New Roman"/>
          <w:i/>
          <w:sz w:val="25"/>
          <w:szCs w:val="25"/>
          <w:lang w:val="en-US"/>
        </w:rPr>
        <w:t>32</w:t>
      </w:r>
      <w:r w:rsidRPr="002C1271">
        <w:rPr>
          <w:rFonts w:cs="Times New Roman"/>
          <w:i/>
          <w:color w:val="000000" w:themeColor="text1"/>
          <w:sz w:val="25"/>
          <w:szCs w:val="25"/>
          <w:lang w:val="en-US"/>
        </w:rPr>
        <w:t> </w:t>
      </w:r>
      <w:r w:rsidRPr="002C1271">
        <w:rPr>
          <w:rFonts w:cs="Times New Roman"/>
          <w:i/>
          <w:sz w:val="25"/>
          <w:szCs w:val="25"/>
          <w:lang w:val="en-US"/>
        </w:rPr>
        <w:t xml:space="preserve">events </w:t>
      </w:r>
      <w:r w:rsidRPr="002C1271">
        <w:rPr>
          <w:rFonts w:cs="Times New Roman"/>
          <w:sz w:val="25"/>
          <w:szCs w:val="25"/>
          <w:lang w:val="en-US"/>
        </w:rPr>
        <w:t>initiated by Ukraine</w:t>
      </w:r>
      <w:r w:rsidRPr="002C1271">
        <w:rPr>
          <w:rFonts w:cs="Times New Roman"/>
          <w:i/>
          <w:sz w:val="25"/>
          <w:szCs w:val="25"/>
          <w:lang w:val="en-US"/>
        </w:rPr>
        <w:t xml:space="preserve">, </w:t>
      </w:r>
      <w:r w:rsidRPr="002C1271">
        <w:rPr>
          <w:rFonts w:cs="Times New Roman"/>
          <w:sz w:val="25"/>
          <w:szCs w:val="25"/>
          <w:lang w:val="en-US"/>
        </w:rPr>
        <w:t>including</w:t>
      </w:r>
      <w:r w:rsidRPr="002C1271">
        <w:rPr>
          <w:rFonts w:cs="Times New Roman"/>
          <w:i/>
          <w:sz w:val="25"/>
          <w:szCs w:val="25"/>
          <w:lang w:val="en-US"/>
        </w:rPr>
        <w:t xml:space="preserve"> </w:t>
      </w:r>
      <w:r w:rsidRPr="002C1271">
        <w:rPr>
          <w:rFonts w:cs="Times New Roman"/>
          <w:i/>
          <w:sz w:val="25"/>
          <w:szCs w:val="25"/>
        </w:rPr>
        <w:t>1</w:t>
      </w:r>
      <w:r w:rsidR="00843533">
        <w:rPr>
          <w:rFonts w:cs="Times New Roman"/>
          <w:i/>
          <w:sz w:val="25"/>
          <w:szCs w:val="25"/>
          <w:lang w:val="en-US"/>
        </w:rPr>
        <w:t>5</w:t>
      </w:r>
      <w:r w:rsidRPr="002C1271">
        <w:rPr>
          <w:rFonts w:cs="Times New Roman"/>
          <w:i/>
          <w:sz w:val="25"/>
          <w:szCs w:val="25"/>
          <w:lang w:val="en-US"/>
        </w:rPr>
        <w:t> workshops</w:t>
      </w:r>
      <w:r w:rsidRPr="002C1271">
        <w:rPr>
          <w:rFonts w:cs="Times New Roman"/>
          <w:sz w:val="25"/>
          <w:szCs w:val="25"/>
          <w:lang w:val="en-US"/>
        </w:rPr>
        <w:t xml:space="preserve">, </w:t>
      </w:r>
      <w:r w:rsidR="00843533">
        <w:rPr>
          <w:rFonts w:cs="Times New Roman"/>
          <w:i/>
          <w:color w:val="000000" w:themeColor="text1"/>
          <w:sz w:val="25"/>
          <w:szCs w:val="25"/>
          <w:lang w:val="en-US"/>
        </w:rPr>
        <w:t xml:space="preserve">7 </w:t>
      </w:r>
      <w:r w:rsidR="00843533" w:rsidRPr="002C1271">
        <w:rPr>
          <w:rFonts w:cs="Times New Roman"/>
          <w:i/>
          <w:sz w:val="25"/>
          <w:szCs w:val="25"/>
          <w:lang w:val="en-US"/>
        </w:rPr>
        <w:t>study</w:t>
      </w:r>
      <w:r w:rsidRPr="002C1271">
        <w:rPr>
          <w:rFonts w:cs="Times New Roman"/>
          <w:i/>
          <w:sz w:val="25"/>
          <w:szCs w:val="25"/>
          <w:lang w:val="en-US"/>
        </w:rPr>
        <w:t xml:space="preserve"> visits </w:t>
      </w:r>
      <w:r w:rsidRPr="002C1271">
        <w:rPr>
          <w:rFonts w:cs="Times New Roman"/>
          <w:sz w:val="25"/>
          <w:szCs w:val="25"/>
          <w:lang w:val="en-US"/>
        </w:rPr>
        <w:t xml:space="preserve">to EU Member States and </w:t>
      </w:r>
      <w:r w:rsidR="00843533">
        <w:rPr>
          <w:rFonts w:cs="Times New Roman"/>
          <w:i/>
          <w:sz w:val="25"/>
          <w:szCs w:val="25"/>
          <w:lang w:val="en-US"/>
        </w:rPr>
        <w:t>10</w:t>
      </w:r>
      <w:r w:rsidRPr="00C836E4">
        <w:rPr>
          <w:rFonts w:cs="Times New Roman"/>
          <w:i/>
          <w:sz w:val="25"/>
          <w:szCs w:val="25"/>
          <w:lang w:val="en-US"/>
        </w:rPr>
        <w:t> </w:t>
      </w:r>
      <w:r w:rsidRPr="002C1271">
        <w:rPr>
          <w:rFonts w:cs="Times New Roman"/>
          <w:i/>
          <w:sz w:val="25"/>
          <w:szCs w:val="25"/>
          <w:lang w:val="en-US"/>
        </w:rPr>
        <w:t xml:space="preserve">expert missions </w:t>
      </w:r>
      <w:r w:rsidR="00C836E4">
        <w:rPr>
          <w:rFonts w:cs="Times New Roman"/>
          <w:sz w:val="25"/>
          <w:szCs w:val="25"/>
          <w:lang w:val="en-US"/>
        </w:rPr>
        <w:t xml:space="preserve">to Ukraine. </w:t>
      </w:r>
      <w:r w:rsidRPr="002C1271">
        <w:rPr>
          <w:rFonts w:cs="Times New Roman"/>
          <w:sz w:val="25"/>
          <w:szCs w:val="25"/>
          <w:lang w:val="en-US"/>
        </w:rPr>
        <w:t>Furthermore</w:t>
      </w:r>
      <w:r w:rsidRPr="002C1271">
        <w:rPr>
          <w:rFonts w:cs="Times New Roman"/>
          <w:sz w:val="25"/>
          <w:szCs w:val="25"/>
        </w:rPr>
        <w:t>,</w:t>
      </w:r>
      <w:r w:rsidRPr="002C1271">
        <w:rPr>
          <w:rFonts w:cs="Times New Roman"/>
          <w:sz w:val="25"/>
          <w:szCs w:val="25"/>
          <w:lang w:val="en-US"/>
        </w:rPr>
        <w:t xml:space="preserve"> </w:t>
      </w:r>
      <w:r w:rsidR="00C836E4">
        <w:rPr>
          <w:rFonts w:cs="Times New Roman"/>
          <w:i/>
          <w:sz w:val="25"/>
          <w:szCs w:val="25"/>
          <w:lang w:val="en-US"/>
        </w:rPr>
        <w:t>1</w:t>
      </w:r>
      <w:r w:rsidR="00843533">
        <w:rPr>
          <w:rFonts w:cs="Times New Roman"/>
          <w:i/>
          <w:sz w:val="25"/>
          <w:szCs w:val="25"/>
          <w:lang w:val="en-US"/>
        </w:rPr>
        <w:t>3</w:t>
      </w:r>
      <w:r w:rsidR="00C836E4">
        <w:rPr>
          <w:rFonts w:cs="Times New Roman"/>
          <w:i/>
          <w:sz w:val="25"/>
          <w:szCs w:val="25"/>
          <w:lang w:val="en-US"/>
        </w:rPr>
        <w:t xml:space="preserve"> </w:t>
      </w:r>
      <w:r w:rsidRPr="002C1271">
        <w:rPr>
          <w:rFonts w:cs="Times New Roman"/>
          <w:i/>
          <w:sz w:val="25"/>
          <w:szCs w:val="25"/>
          <w:lang w:val="en-US"/>
        </w:rPr>
        <w:t xml:space="preserve">representatives </w:t>
      </w:r>
      <w:r w:rsidRPr="002C1271">
        <w:rPr>
          <w:rFonts w:cs="Times New Roman"/>
          <w:sz w:val="25"/>
          <w:szCs w:val="25"/>
          <w:lang w:val="en-US"/>
        </w:rPr>
        <w:t xml:space="preserve">of government authorities participated in </w:t>
      </w:r>
      <w:r w:rsidR="002F3E2D" w:rsidRPr="002F3E2D">
        <w:rPr>
          <w:rFonts w:cs="Times New Roman"/>
          <w:i/>
          <w:sz w:val="25"/>
          <w:szCs w:val="25"/>
          <w:lang w:val="en-US"/>
        </w:rPr>
        <w:t>Institution Building Days and 4</w:t>
      </w:r>
      <w:r w:rsidR="002F3E2D">
        <w:rPr>
          <w:rFonts w:cs="Times New Roman"/>
          <w:sz w:val="25"/>
          <w:szCs w:val="25"/>
          <w:lang w:val="en-US"/>
        </w:rPr>
        <w:t xml:space="preserve"> </w:t>
      </w:r>
      <w:r w:rsidRPr="002C1271">
        <w:rPr>
          <w:rFonts w:cs="Times New Roman"/>
          <w:i/>
          <w:sz w:val="25"/>
          <w:szCs w:val="25"/>
          <w:lang w:val="en-US"/>
        </w:rPr>
        <w:t>workshop</w:t>
      </w:r>
      <w:r w:rsidR="00C836E4">
        <w:rPr>
          <w:rFonts w:cs="Times New Roman"/>
          <w:i/>
          <w:sz w:val="25"/>
          <w:szCs w:val="25"/>
          <w:lang w:val="en-US"/>
        </w:rPr>
        <w:t>s</w:t>
      </w:r>
      <w:r w:rsidRPr="002C1271">
        <w:rPr>
          <w:rFonts w:cs="Times New Roman"/>
          <w:sz w:val="25"/>
          <w:szCs w:val="25"/>
          <w:lang w:val="en-US"/>
        </w:rPr>
        <w:t xml:space="preserve"> initiated by the European Commission under the TAIEX instrument</w:t>
      </w:r>
      <w:r w:rsidR="002F3E2D">
        <w:rPr>
          <w:rFonts w:cs="Times New Roman"/>
          <w:sz w:val="25"/>
          <w:szCs w:val="25"/>
          <w:lang w:val="en-US"/>
        </w:rPr>
        <w:t>.</w:t>
      </w:r>
    </w:p>
    <w:p w:rsidR="00604034" w:rsidRPr="00604034" w:rsidRDefault="002F3E2D" w:rsidP="002F3E2D">
      <w:pPr>
        <w:spacing w:after="120" w:line="276" w:lineRule="auto"/>
        <w:ind w:left="-709"/>
        <w:rPr>
          <w:rFonts w:cs="Times New Roman"/>
          <w:sz w:val="25"/>
          <w:szCs w:val="25"/>
        </w:rPr>
      </w:pPr>
      <w:r>
        <w:rPr>
          <w:noProof/>
          <w:lang w:eastAsia="uk-UA"/>
        </w:rPr>
        <w:lastRenderedPageBreak/>
        <w:drawing>
          <wp:inline distT="0" distB="0" distL="0" distR="0" wp14:anchorId="76F237F7" wp14:editId="4559E934">
            <wp:extent cx="6519553" cy="2802576"/>
            <wp:effectExtent l="0" t="0" r="14605"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5289" w:rsidRPr="00815289" w:rsidRDefault="00815289" w:rsidP="00815289">
      <w:pPr>
        <w:spacing w:after="120" w:line="276" w:lineRule="auto"/>
        <w:rPr>
          <w:rFonts w:cs="Times New Roman"/>
          <w:b/>
          <w:color w:val="000000" w:themeColor="text1"/>
          <w:szCs w:val="25"/>
          <w:lang w:val="en-US"/>
        </w:rPr>
      </w:pPr>
      <w:proofErr w:type="gramStart"/>
      <w:r w:rsidRPr="00376E5B">
        <w:rPr>
          <w:rFonts w:cstheme="minorHAnsi"/>
          <w:b/>
          <w:color w:val="000000" w:themeColor="text1"/>
          <w:szCs w:val="25"/>
          <w:lang w:val="en-US"/>
        </w:rPr>
        <w:t>Pic.</w:t>
      </w:r>
      <w:proofErr w:type="gramEnd"/>
      <w:r w:rsidRPr="00376E5B">
        <w:rPr>
          <w:rFonts w:cstheme="minorHAnsi"/>
          <w:b/>
          <w:color w:val="000000" w:themeColor="text1"/>
          <w:szCs w:val="25"/>
          <w:lang w:val="en-US"/>
        </w:rPr>
        <w:t xml:space="preserve"> 2. Overview of TAIEX activities in Ukraine per the initiator </w:t>
      </w:r>
      <w:r w:rsidR="00C836E4" w:rsidRPr="00815289">
        <w:rPr>
          <w:rFonts w:cs="Times New Roman"/>
          <w:b/>
          <w:color w:val="000000" w:themeColor="text1"/>
          <w:szCs w:val="25"/>
          <w:lang w:val="en-US"/>
        </w:rPr>
        <w:t xml:space="preserve">(2006 – </w:t>
      </w:r>
      <w:r w:rsidR="00532D5F">
        <w:rPr>
          <w:rFonts w:cs="Times New Roman"/>
          <w:b/>
          <w:color w:val="000000" w:themeColor="text1"/>
          <w:szCs w:val="25"/>
          <w:lang w:val="en-US"/>
        </w:rPr>
        <w:t>01</w:t>
      </w:r>
      <w:r w:rsidR="00532D5F" w:rsidRPr="00815289">
        <w:rPr>
          <w:rFonts w:cs="Times New Roman"/>
          <w:b/>
          <w:color w:val="000000" w:themeColor="text1"/>
          <w:szCs w:val="25"/>
          <w:lang w:val="en-US"/>
        </w:rPr>
        <w:t> </w:t>
      </w:r>
      <w:r w:rsidR="00532D5F">
        <w:rPr>
          <w:rFonts w:cs="Times New Roman"/>
          <w:b/>
          <w:color w:val="000000" w:themeColor="text1"/>
          <w:szCs w:val="25"/>
          <w:lang w:val="en-US"/>
        </w:rPr>
        <w:t>November</w:t>
      </w:r>
      <w:r w:rsidR="00532D5F" w:rsidRPr="002C1271">
        <w:rPr>
          <w:rFonts w:cs="Times New Roman"/>
          <w:b/>
          <w:bCs/>
          <w:color w:val="000000" w:themeColor="text1"/>
          <w:sz w:val="25"/>
          <w:szCs w:val="25"/>
          <w:lang w:val="en-US"/>
        </w:rPr>
        <w:t>, 2019</w:t>
      </w:r>
      <w:r w:rsidR="00C836E4" w:rsidRPr="00815289">
        <w:rPr>
          <w:rFonts w:cs="Times New Roman"/>
          <w:b/>
          <w:color w:val="000000" w:themeColor="text1"/>
          <w:szCs w:val="25"/>
          <w:lang w:val="en-US"/>
        </w:rPr>
        <w:t>)</w:t>
      </w:r>
    </w:p>
    <w:p w:rsidR="00604034" w:rsidRPr="002C1271" w:rsidRDefault="00595DF1" w:rsidP="00604034">
      <w:pPr>
        <w:spacing w:after="120" w:line="276" w:lineRule="auto"/>
        <w:rPr>
          <w:rFonts w:cs="Times New Roman"/>
          <w:sz w:val="25"/>
          <w:szCs w:val="25"/>
        </w:rPr>
      </w:pPr>
      <w:r w:rsidRPr="002C1271">
        <w:rPr>
          <w:rFonts w:cs="Times New Roman"/>
          <w:b/>
          <w:bCs/>
          <w:sz w:val="25"/>
          <w:szCs w:val="25"/>
          <w:lang w:val="en-US"/>
        </w:rPr>
        <w:t xml:space="preserve">During the mentioned period (2006–2019) TAIEX events were conducted in the </w:t>
      </w:r>
      <w:r w:rsidRPr="002C1271">
        <w:rPr>
          <w:rFonts w:cs="Times New Roman"/>
          <w:b/>
          <w:bCs/>
          <w:sz w:val="25"/>
          <w:szCs w:val="25"/>
          <w:lang w:val="en-US"/>
        </w:rPr>
        <w:br/>
        <w:t>following areas</w:t>
      </w:r>
      <w:r w:rsidR="00604034" w:rsidRPr="002C1271">
        <w:rPr>
          <w:rFonts w:cs="Times New Roman"/>
          <w:b/>
          <w:bCs/>
          <w:sz w:val="25"/>
          <w:szCs w:val="25"/>
        </w:rPr>
        <w:t>:</w:t>
      </w:r>
    </w:p>
    <w:p w:rsidR="00604034" w:rsidRPr="002C1271" w:rsidRDefault="00595DF1" w:rsidP="00604034">
      <w:pPr>
        <w:numPr>
          <w:ilvl w:val="0"/>
          <w:numId w:val="2"/>
        </w:numPr>
        <w:spacing w:after="120" w:line="276" w:lineRule="auto"/>
        <w:contextualSpacing/>
        <w:jc w:val="left"/>
        <w:rPr>
          <w:rFonts w:cs="Times New Roman"/>
          <w:sz w:val="25"/>
          <w:szCs w:val="25"/>
        </w:rPr>
      </w:pPr>
      <w:r w:rsidRPr="002C1271">
        <w:rPr>
          <w:rFonts w:cs="Times New Roman"/>
          <w:sz w:val="25"/>
          <w:szCs w:val="25"/>
          <w:lang w:val="en-US"/>
        </w:rPr>
        <w:t>Justice and Internal Affairs</w:t>
      </w:r>
      <w:r w:rsidRPr="002C1271">
        <w:rPr>
          <w:rFonts w:cs="Times New Roman"/>
          <w:sz w:val="25"/>
          <w:szCs w:val="25"/>
        </w:rPr>
        <w:t xml:space="preserve"> (20</w:t>
      </w:r>
      <w:r w:rsidR="00843533">
        <w:rPr>
          <w:rFonts w:cs="Times New Roman"/>
          <w:sz w:val="25"/>
          <w:szCs w:val="25"/>
          <w:lang w:val="en-US"/>
        </w:rPr>
        <w:t>5</w:t>
      </w:r>
      <w:r w:rsidRPr="002C1271">
        <w:rPr>
          <w:rFonts w:cs="Times New Roman"/>
          <w:sz w:val="25"/>
          <w:szCs w:val="25"/>
        </w:rPr>
        <w:t> </w:t>
      </w:r>
      <w:r w:rsidRPr="002C1271">
        <w:rPr>
          <w:rFonts w:cstheme="minorHAnsi"/>
          <w:sz w:val="25"/>
          <w:szCs w:val="25"/>
          <w:lang w:val="en-US"/>
        </w:rPr>
        <w:t>events</w:t>
      </w:r>
      <w:r w:rsidRPr="002C1271">
        <w:rPr>
          <w:rFonts w:cs="Times New Roman"/>
          <w:sz w:val="25"/>
          <w:szCs w:val="25"/>
        </w:rPr>
        <w:t xml:space="preserve">, </w:t>
      </w:r>
      <w:r w:rsidRPr="002C1271">
        <w:rPr>
          <w:rFonts w:cs="Times New Roman"/>
          <w:sz w:val="25"/>
          <w:szCs w:val="25"/>
          <w:lang w:val="en-US"/>
        </w:rPr>
        <w:t>in</w:t>
      </w:r>
      <w:r w:rsidR="00C836E4">
        <w:rPr>
          <w:rFonts w:cs="Times New Roman"/>
          <w:sz w:val="25"/>
          <w:szCs w:val="25"/>
        </w:rPr>
        <w:t xml:space="preserve"> 2019 – </w:t>
      </w:r>
      <w:r w:rsidR="00843533">
        <w:rPr>
          <w:rFonts w:cs="Times New Roman"/>
          <w:sz w:val="25"/>
          <w:szCs w:val="25"/>
          <w:lang w:val="en-US"/>
        </w:rPr>
        <w:t>10</w:t>
      </w:r>
      <w:r w:rsidR="00604034" w:rsidRPr="002C1271">
        <w:rPr>
          <w:rFonts w:cs="Times New Roman"/>
          <w:sz w:val="25"/>
          <w:szCs w:val="25"/>
        </w:rPr>
        <w:t> </w:t>
      </w:r>
      <w:r w:rsidRPr="002C1271">
        <w:rPr>
          <w:rFonts w:cstheme="minorHAnsi"/>
          <w:sz w:val="25"/>
          <w:szCs w:val="25"/>
          <w:lang w:val="en-US"/>
        </w:rPr>
        <w:t>events</w:t>
      </w:r>
      <w:r w:rsidR="00604034" w:rsidRPr="002C1271">
        <w:rPr>
          <w:rFonts w:cs="Times New Roman"/>
          <w:sz w:val="25"/>
          <w:szCs w:val="25"/>
        </w:rPr>
        <w:t>);</w:t>
      </w:r>
    </w:p>
    <w:p w:rsidR="00604034" w:rsidRPr="002C1271" w:rsidRDefault="00595DF1" w:rsidP="00604034">
      <w:pPr>
        <w:numPr>
          <w:ilvl w:val="0"/>
          <w:numId w:val="2"/>
        </w:numPr>
        <w:spacing w:after="120" w:line="276" w:lineRule="auto"/>
        <w:contextualSpacing/>
        <w:jc w:val="left"/>
        <w:rPr>
          <w:rFonts w:cs="Times New Roman"/>
          <w:sz w:val="25"/>
          <w:szCs w:val="25"/>
        </w:rPr>
      </w:pPr>
      <w:r w:rsidRPr="002C1271">
        <w:rPr>
          <w:rFonts w:cstheme="minorHAnsi"/>
          <w:sz w:val="25"/>
          <w:szCs w:val="25"/>
          <w:lang w:val="en-US"/>
        </w:rPr>
        <w:t xml:space="preserve">Internal Market </w:t>
      </w:r>
      <w:r w:rsidR="00604034" w:rsidRPr="002C1271">
        <w:rPr>
          <w:rFonts w:cs="Times New Roman"/>
          <w:sz w:val="25"/>
          <w:szCs w:val="25"/>
        </w:rPr>
        <w:t>(3</w:t>
      </w:r>
      <w:r w:rsidR="00C836E4">
        <w:rPr>
          <w:rFonts w:cs="Times New Roman"/>
          <w:sz w:val="25"/>
          <w:szCs w:val="25"/>
          <w:lang w:val="en-US"/>
        </w:rPr>
        <w:t>6</w:t>
      </w:r>
      <w:r w:rsidR="00843533">
        <w:rPr>
          <w:rFonts w:cs="Times New Roman"/>
          <w:sz w:val="25"/>
          <w:szCs w:val="25"/>
          <w:lang w:val="en-US"/>
        </w:rPr>
        <w:t>7</w:t>
      </w:r>
      <w:r w:rsidR="00604034" w:rsidRPr="002C1271">
        <w:rPr>
          <w:rFonts w:cs="Times New Roman"/>
          <w:sz w:val="25"/>
          <w:szCs w:val="25"/>
        </w:rPr>
        <w:t> </w:t>
      </w:r>
      <w:r w:rsidRPr="002C1271">
        <w:rPr>
          <w:rFonts w:cstheme="minorHAnsi"/>
          <w:sz w:val="25"/>
          <w:szCs w:val="25"/>
          <w:lang w:val="en-US"/>
        </w:rPr>
        <w:t>events</w:t>
      </w:r>
      <w:r w:rsidRPr="002C1271">
        <w:rPr>
          <w:rFonts w:cs="Times New Roman"/>
          <w:sz w:val="25"/>
          <w:szCs w:val="25"/>
        </w:rPr>
        <w:t>,</w:t>
      </w:r>
      <w:r w:rsidRPr="002C1271">
        <w:rPr>
          <w:rFonts w:cs="Times New Roman"/>
          <w:sz w:val="25"/>
          <w:szCs w:val="25"/>
          <w:lang w:val="en-US"/>
        </w:rPr>
        <w:t xml:space="preserve"> in </w:t>
      </w:r>
      <w:r w:rsidRPr="002C1271">
        <w:rPr>
          <w:rFonts w:cs="Times New Roman"/>
          <w:sz w:val="25"/>
          <w:szCs w:val="25"/>
        </w:rPr>
        <w:t>2019</w:t>
      </w:r>
      <w:r w:rsidR="00C836E4">
        <w:rPr>
          <w:rFonts w:cs="Times New Roman"/>
          <w:sz w:val="25"/>
          <w:szCs w:val="25"/>
        </w:rPr>
        <w:t xml:space="preserve"> – </w:t>
      </w:r>
      <w:r w:rsidR="006A1880">
        <w:rPr>
          <w:rFonts w:cs="Times New Roman"/>
          <w:sz w:val="25"/>
          <w:szCs w:val="25"/>
        </w:rPr>
        <w:t>1</w:t>
      </w:r>
      <w:r w:rsidR="00843533">
        <w:rPr>
          <w:rFonts w:cs="Times New Roman"/>
          <w:sz w:val="25"/>
          <w:szCs w:val="25"/>
          <w:lang w:val="en-US"/>
        </w:rPr>
        <w:t>4</w:t>
      </w:r>
      <w:r w:rsidR="00604034" w:rsidRPr="002C1271">
        <w:rPr>
          <w:rFonts w:cs="Times New Roman"/>
          <w:sz w:val="25"/>
          <w:szCs w:val="25"/>
        </w:rPr>
        <w:t> </w:t>
      </w:r>
      <w:r w:rsidRPr="002C1271">
        <w:rPr>
          <w:rFonts w:cstheme="minorHAnsi"/>
          <w:sz w:val="25"/>
          <w:szCs w:val="25"/>
          <w:lang w:val="en-US"/>
        </w:rPr>
        <w:t>events</w:t>
      </w:r>
      <w:r w:rsidR="00604034" w:rsidRPr="002C1271">
        <w:rPr>
          <w:rFonts w:cs="Times New Roman"/>
          <w:sz w:val="25"/>
          <w:szCs w:val="25"/>
        </w:rPr>
        <w:t>);</w:t>
      </w:r>
    </w:p>
    <w:p w:rsidR="00604034" w:rsidRPr="002C1271" w:rsidRDefault="00595DF1" w:rsidP="00604034">
      <w:pPr>
        <w:numPr>
          <w:ilvl w:val="0"/>
          <w:numId w:val="2"/>
        </w:numPr>
        <w:spacing w:after="120" w:line="276" w:lineRule="auto"/>
        <w:contextualSpacing/>
        <w:jc w:val="left"/>
        <w:rPr>
          <w:rFonts w:cs="Times New Roman"/>
          <w:sz w:val="25"/>
          <w:szCs w:val="25"/>
        </w:rPr>
      </w:pPr>
      <w:r w:rsidRPr="002C1271">
        <w:rPr>
          <w:rFonts w:cs="Times New Roman"/>
          <w:sz w:val="25"/>
          <w:szCs w:val="25"/>
          <w:lang w:val="en-US"/>
        </w:rPr>
        <w:t xml:space="preserve">Environment, Telecommunications, Transport </w:t>
      </w:r>
      <w:r w:rsidR="00604034" w:rsidRPr="002C1271">
        <w:rPr>
          <w:rFonts w:cs="Times New Roman"/>
          <w:sz w:val="25"/>
          <w:szCs w:val="25"/>
        </w:rPr>
        <w:t>(15</w:t>
      </w:r>
      <w:r w:rsidR="00122AAE">
        <w:rPr>
          <w:rFonts w:cs="Times New Roman"/>
          <w:sz w:val="25"/>
          <w:szCs w:val="25"/>
          <w:lang w:val="en-US"/>
        </w:rPr>
        <w:t>5</w:t>
      </w:r>
      <w:r w:rsidR="00604034" w:rsidRPr="002C1271">
        <w:rPr>
          <w:rFonts w:cs="Times New Roman"/>
          <w:sz w:val="25"/>
          <w:szCs w:val="25"/>
        </w:rPr>
        <w:t> </w:t>
      </w:r>
      <w:r w:rsidRPr="002C1271">
        <w:rPr>
          <w:rFonts w:cs="Times New Roman"/>
          <w:sz w:val="25"/>
          <w:szCs w:val="25"/>
          <w:lang w:val="en-US"/>
        </w:rPr>
        <w:t>events</w:t>
      </w:r>
      <w:r w:rsidRPr="002C1271">
        <w:rPr>
          <w:rFonts w:cs="Times New Roman"/>
          <w:sz w:val="25"/>
          <w:szCs w:val="25"/>
        </w:rPr>
        <w:t xml:space="preserve">, </w:t>
      </w:r>
      <w:r w:rsidRPr="002C1271">
        <w:rPr>
          <w:rFonts w:cs="Times New Roman"/>
          <w:sz w:val="25"/>
          <w:szCs w:val="25"/>
          <w:lang w:val="en-US"/>
        </w:rPr>
        <w:t>in</w:t>
      </w:r>
      <w:r w:rsidR="00C836E4">
        <w:rPr>
          <w:rFonts w:cs="Times New Roman"/>
          <w:sz w:val="25"/>
          <w:szCs w:val="25"/>
        </w:rPr>
        <w:t xml:space="preserve"> 2019 – </w:t>
      </w:r>
      <w:r w:rsidR="00122AAE">
        <w:rPr>
          <w:rFonts w:cs="Times New Roman"/>
          <w:sz w:val="25"/>
          <w:szCs w:val="25"/>
          <w:lang w:val="en-US"/>
        </w:rPr>
        <w:t>9</w:t>
      </w:r>
      <w:r w:rsidRPr="002C1271">
        <w:rPr>
          <w:rFonts w:cstheme="minorHAnsi"/>
          <w:sz w:val="25"/>
          <w:szCs w:val="25"/>
        </w:rPr>
        <w:t xml:space="preserve"> </w:t>
      </w:r>
      <w:r w:rsidRPr="002C1271">
        <w:rPr>
          <w:rFonts w:cstheme="minorHAnsi"/>
          <w:sz w:val="25"/>
          <w:szCs w:val="25"/>
          <w:lang w:val="en-US"/>
        </w:rPr>
        <w:t>events</w:t>
      </w:r>
      <w:r w:rsidR="00604034" w:rsidRPr="002C1271">
        <w:rPr>
          <w:rFonts w:cs="Times New Roman"/>
          <w:sz w:val="25"/>
          <w:szCs w:val="25"/>
        </w:rPr>
        <w:t>);</w:t>
      </w:r>
    </w:p>
    <w:p w:rsidR="00604034" w:rsidRPr="002C1271" w:rsidRDefault="00206FA0" w:rsidP="00604034">
      <w:pPr>
        <w:numPr>
          <w:ilvl w:val="0"/>
          <w:numId w:val="2"/>
        </w:numPr>
        <w:spacing w:after="120" w:line="276" w:lineRule="auto"/>
        <w:contextualSpacing/>
        <w:jc w:val="left"/>
        <w:rPr>
          <w:rFonts w:cs="Times New Roman"/>
          <w:sz w:val="25"/>
          <w:szCs w:val="25"/>
        </w:rPr>
      </w:pPr>
      <w:r w:rsidRPr="002C1271">
        <w:rPr>
          <w:rFonts w:cstheme="minorHAnsi"/>
          <w:sz w:val="25"/>
          <w:szCs w:val="25"/>
          <w:lang w:val="en-US"/>
        </w:rPr>
        <w:t xml:space="preserve">Agriculture and Food Safety </w:t>
      </w:r>
      <w:r w:rsidR="00604034" w:rsidRPr="002C1271">
        <w:rPr>
          <w:rFonts w:cs="Times New Roman"/>
          <w:sz w:val="25"/>
          <w:szCs w:val="25"/>
        </w:rPr>
        <w:t>(9</w:t>
      </w:r>
      <w:r w:rsidR="00C836E4">
        <w:rPr>
          <w:rFonts w:cs="Times New Roman"/>
          <w:sz w:val="25"/>
          <w:szCs w:val="25"/>
          <w:lang w:val="en-US"/>
        </w:rPr>
        <w:t>9</w:t>
      </w:r>
      <w:r w:rsidR="00815289" w:rsidRPr="002C1271">
        <w:rPr>
          <w:rFonts w:cs="Times New Roman"/>
          <w:sz w:val="25"/>
          <w:szCs w:val="25"/>
        </w:rPr>
        <w:t> </w:t>
      </w:r>
      <w:r w:rsidR="00815289" w:rsidRPr="002C1271">
        <w:rPr>
          <w:rFonts w:cstheme="minorHAnsi"/>
          <w:sz w:val="25"/>
          <w:szCs w:val="25"/>
          <w:lang w:val="en-US"/>
        </w:rPr>
        <w:t>events</w:t>
      </w:r>
      <w:r w:rsidR="00595DF1" w:rsidRPr="002C1271">
        <w:rPr>
          <w:rFonts w:cs="Times New Roman"/>
          <w:sz w:val="25"/>
          <w:szCs w:val="25"/>
        </w:rPr>
        <w:t xml:space="preserve">, </w:t>
      </w:r>
      <w:r w:rsidR="00595DF1" w:rsidRPr="002C1271">
        <w:rPr>
          <w:rFonts w:cs="Times New Roman"/>
          <w:sz w:val="25"/>
          <w:szCs w:val="25"/>
          <w:lang w:val="en-US"/>
        </w:rPr>
        <w:t>in</w:t>
      </w:r>
      <w:r w:rsidR="00595DF1" w:rsidRPr="002C1271">
        <w:rPr>
          <w:rFonts w:cs="Times New Roman"/>
          <w:sz w:val="25"/>
          <w:szCs w:val="25"/>
        </w:rPr>
        <w:t xml:space="preserve"> 2019</w:t>
      </w:r>
      <w:r w:rsidR="00604034" w:rsidRPr="002C1271">
        <w:rPr>
          <w:rFonts w:cs="Times New Roman"/>
          <w:sz w:val="25"/>
          <w:szCs w:val="25"/>
        </w:rPr>
        <w:t xml:space="preserve"> – </w:t>
      </w:r>
      <w:r w:rsidR="00C836E4">
        <w:rPr>
          <w:rFonts w:cs="Times New Roman"/>
          <w:sz w:val="25"/>
          <w:szCs w:val="25"/>
          <w:lang w:val="en-US"/>
        </w:rPr>
        <w:t>3</w:t>
      </w:r>
      <w:r w:rsidR="00604034" w:rsidRPr="002C1271">
        <w:rPr>
          <w:rFonts w:cs="Times New Roman"/>
          <w:sz w:val="25"/>
          <w:szCs w:val="25"/>
        </w:rPr>
        <w:t> </w:t>
      </w:r>
      <w:r w:rsidR="00815289" w:rsidRPr="002C1271">
        <w:rPr>
          <w:rFonts w:cstheme="minorHAnsi"/>
          <w:sz w:val="25"/>
          <w:szCs w:val="25"/>
          <w:lang w:val="en-US"/>
        </w:rPr>
        <w:t>events</w:t>
      </w:r>
      <w:r w:rsidR="00815289" w:rsidRPr="002C1271">
        <w:rPr>
          <w:rFonts w:cs="Times New Roman"/>
          <w:sz w:val="25"/>
          <w:szCs w:val="25"/>
        </w:rPr>
        <w:t>)</w:t>
      </w:r>
      <w:r w:rsidR="00604034" w:rsidRPr="002C1271">
        <w:rPr>
          <w:rFonts w:cs="Times New Roman"/>
          <w:sz w:val="25"/>
          <w:szCs w:val="25"/>
        </w:rPr>
        <w:t>.</w:t>
      </w:r>
    </w:p>
    <w:p w:rsidR="00604034" w:rsidRPr="00604034" w:rsidRDefault="00604034" w:rsidP="00604034">
      <w:pPr>
        <w:spacing w:after="120" w:line="276" w:lineRule="auto"/>
        <w:rPr>
          <w:rFonts w:cs="Times New Roman"/>
          <w:b/>
          <w:color w:val="000000" w:themeColor="text1"/>
          <w:szCs w:val="25"/>
        </w:rPr>
      </w:pPr>
    </w:p>
    <w:p w:rsidR="00604034" w:rsidRPr="00604034" w:rsidRDefault="00604034" w:rsidP="00604034">
      <w:pPr>
        <w:spacing w:after="120" w:line="276" w:lineRule="auto"/>
        <w:rPr>
          <w:rFonts w:cs="Times New Roman"/>
          <w:sz w:val="25"/>
          <w:szCs w:val="25"/>
        </w:rPr>
      </w:pPr>
      <w:r w:rsidRPr="00604034">
        <w:rPr>
          <w:rFonts w:cs="Times New Roman"/>
          <w:noProof/>
          <w:lang w:eastAsia="uk-UA"/>
        </w:rPr>
        <w:drawing>
          <wp:inline distT="0" distB="0" distL="0" distR="0" wp14:anchorId="7B9B7076" wp14:editId="15365DF3">
            <wp:extent cx="6152515" cy="3067685"/>
            <wp:effectExtent l="0" t="0" r="1968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5289" w:rsidRPr="00815289" w:rsidRDefault="00815289" w:rsidP="00815289">
      <w:pPr>
        <w:spacing w:after="120" w:line="276" w:lineRule="auto"/>
        <w:rPr>
          <w:rFonts w:cs="Times New Roman"/>
          <w:b/>
          <w:color w:val="000000" w:themeColor="text1"/>
          <w:szCs w:val="25"/>
          <w:lang w:val="en-US"/>
        </w:rPr>
      </w:pPr>
      <w:proofErr w:type="gramStart"/>
      <w:r w:rsidRPr="00F5400D">
        <w:rPr>
          <w:rFonts w:cstheme="minorHAnsi"/>
          <w:b/>
          <w:color w:val="000000" w:themeColor="text1"/>
          <w:szCs w:val="25"/>
          <w:lang w:val="en-US"/>
        </w:rPr>
        <w:t>Pic.</w:t>
      </w:r>
      <w:proofErr w:type="gramEnd"/>
      <w:r w:rsidRPr="00F5400D">
        <w:rPr>
          <w:rFonts w:cstheme="minorHAnsi"/>
          <w:b/>
          <w:color w:val="000000" w:themeColor="text1"/>
          <w:szCs w:val="25"/>
          <w:lang w:val="en-US"/>
        </w:rPr>
        <w:t xml:space="preserve"> 3. Overview of TAIEX activities in Ukraine per sector</w:t>
      </w:r>
      <w:r>
        <w:rPr>
          <w:rFonts w:cstheme="minorHAnsi"/>
          <w:b/>
          <w:color w:val="000000" w:themeColor="text1"/>
          <w:szCs w:val="25"/>
          <w:lang w:val="en-US"/>
        </w:rPr>
        <w:t xml:space="preserve"> </w:t>
      </w:r>
      <w:r w:rsidR="00C836E4" w:rsidRPr="00815289">
        <w:rPr>
          <w:rFonts w:cs="Times New Roman"/>
          <w:b/>
          <w:color w:val="000000" w:themeColor="text1"/>
          <w:szCs w:val="25"/>
          <w:lang w:val="en-US"/>
        </w:rPr>
        <w:t xml:space="preserve">(2006 – </w:t>
      </w:r>
      <w:r w:rsidR="00532D5F">
        <w:rPr>
          <w:rFonts w:cs="Times New Roman"/>
          <w:b/>
          <w:color w:val="000000" w:themeColor="text1"/>
          <w:szCs w:val="25"/>
          <w:lang w:val="en-US"/>
        </w:rPr>
        <w:t>01</w:t>
      </w:r>
      <w:r w:rsidR="00532D5F" w:rsidRPr="00815289">
        <w:rPr>
          <w:rFonts w:cs="Times New Roman"/>
          <w:b/>
          <w:color w:val="000000" w:themeColor="text1"/>
          <w:szCs w:val="25"/>
          <w:lang w:val="en-US"/>
        </w:rPr>
        <w:t> </w:t>
      </w:r>
      <w:r w:rsidR="00532D5F">
        <w:rPr>
          <w:rFonts w:cs="Times New Roman"/>
          <w:b/>
          <w:color w:val="000000" w:themeColor="text1"/>
          <w:szCs w:val="25"/>
          <w:lang w:val="en-US"/>
        </w:rPr>
        <w:t>November</w:t>
      </w:r>
      <w:r w:rsidR="00532D5F" w:rsidRPr="002C1271">
        <w:rPr>
          <w:rFonts w:cs="Times New Roman"/>
          <w:b/>
          <w:bCs/>
          <w:color w:val="000000" w:themeColor="text1"/>
          <w:sz w:val="25"/>
          <w:szCs w:val="25"/>
          <w:lang w:val="en-US"/>
        </w:rPr>
        <w:t>, 2019</w:t>
      </w:r>
      <w:r w:rsidR="00C836E4" w:rsidRPr="00815289">
        <w:rPr>
          <w:rFonts w:cs="Times New Roman"/>
          <w:b/>
          <w:color w:val="000000" w:themeColor="text1"/>
          <w:szCs w:val="25"/>
          <w:lang w:val="en-US"/>
        </w:rPr>
        <w:t>)</w:t>
      </w:r>
    </w:p>
    <w:p w:rsidR="00604034" w:rsidRPr="006F14F7" w:rsidRDefault="00604034" w:rsidP="00604034">
      <w:pPr>
        <w:spacing w:after="200" w:line="276" w:lineRule="auto"/>
        <w:jc w:val="left"/>
        <w:rPr>
          <w:rFonts w:cs="Times New Roman"/>
          <w:lang w:val="en-US"/>
        </w:rPr>
      </w:pPr>
      <w:bookmarkStart w:id="0" w:name="_GoBack"/>
      <w:bookmarkEnd w:id="0"/>
    </w:p>
    <w:p w:rsidR="00604034" w:rsidRDefault="00604034"/>
    <w:sectPr w:rsidR="00604034" w:rsidSect="002C1271">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1A3"/>
    <w:multiLevelType w:val="hybridMultilevel"/>
    <w:tmpl w:val="03C854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37074B3"/>
    <w:multiLevelType w:val="hybridMultilevel"/>
    <w:tmpl w:val="7FD0C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67E86"/>
    <w:multiLevelType w:val="hybridMultilevel"/>
    <w:tmpl w:val="7AC2FEFA"/>
    <w:lvl w:ilvl="0" w:tplc="0422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FF632E7"/>
    <w:multiLevelType w:val="hybridMultilevel"/>
    <w:tmpl w:val="14B268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352A4C"/>
    <w:multiLevelType w:val="hybridMultilevel"/>
    <w:tmpl w:val="9AD2D566"/>
    <w:lvl w:ilvl="0" w:tplc="04220001">
      <w:start w:val="1"/>
      <w:numFmt w:val="bullet"/>
      <w:lvlText w:val=""/>
      <w:lvlJc w:val="left"/>
      <w:pPr>
        <w:ind w:left="720" w:hanging="360"/>
      </w:pPr>
      <w:rPr>
        <w:rFonts w:ascii="Symbol" w:hAnsi="Symbol" w:hint="default"/>
      </w:rPr>
    </w:lvl>
    <w:lvl w:ilvl="1" w:tplc="24FE68A6">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0A665A4"/>
    <w:multiLevelType w:val="multilevel"/>
    <w:tmpl w:val="3A7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E3"/>
    <w:rsid w:val="00087B95"/>
    <w:rsid w:val="00122AAE"/>
    <w:rsid w:val="001A4543"/>
    <w:rsid w:val="00206FA0"/>
    <w:rsid w:val="002C1271"/>
    <w:rsid w:val="002F3E2D"/>
    <w:rsid w:val="003F0C2F"/>
    <w:rsid w:val="0047532B"/>
    <w:rsid w:val="00532D5F"/>
    <w:rsid w:val="00574646"/>
    <w:rsid w:val="00595DF1"/>
    <w:rsid w:val="005E12E3"/>
    <w:rsid w:val="00604034"/>
    <w:rsid w:val="00661B37"/>
    <w:rsid w:val="006A1880"/>
    <w:rsid w:val="006F14F7"/>
    <w:rsid w:val="00723F17"/>
    <w:rsid w:val="00761E78"/>
    <w:rsid w:val="00815289"/>
    <w:rsid w:val="00843533"/>
    <w:rsid w:val="00882593"/>
    <w:rsid w:val="00906C53"/>
    <w:rsid w:val="0092326E"/>
    <w:rsid w:val="00937A5A"/>
    <w:rsid w:val="00985675"/>
    <w:rsid w:val="00A01ABA"/>
    <w:rsid w:val="00B253A9"/>
    <w:rsid w:val="00BD534C"/>
    <w:rsid w:val="00C51502"/>
    <w:rsid w:val="00C836E4"/>
    <w:rsid w:val="00C950A1"/>
    <w:rsid w:val="00D325FA"/>
    <w:rsid w:val="00D97A6B"/>
    <w:rsid w:val="00DB37B2"/>
    <w:rsid w:val="00DB7D2A"/>
    <w:rsid w:val="00E2638F"/>
    <w:rsid w:val="00E54545"/>
    <w:rsid w:val="00F1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6B"/>
    <w:pPr>
      <w:spacing w:after="160" w:line="259" w:lineRule="auto"/>
      <w:jc w:val="both"/>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34"/>
    <w:rPr>
      <w:rFonts w:ascii="Tahoma" w:hAnsi="Tahoma" w:cs="Tahoma"/>
      <w:sz w:val="16"/>
      <w:szCs w:val="16"/>
      <w:lang w:val="uk-UA"/>
    </w:rPr>
  </w:style>
  <w:style w:type="paragraph" w:styleId="a5">
    <w:name w:val="List Paragraph"/>
    <w:basedOn w:val="a"/>
    <w:uiPriority w:val="34"/>
    <w:qFormat/>
    <w:rsid w:val="00985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6B"/>
    <w:pPr>
      <w:spacing w:after="160" w:line="259" w:lineRule="auto"/>
      <w:jc w:val="both"/>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34"/>
    <w:rPr>
      <w:rFonts w:ascii="Tahoma" w:hAnsi="Tahoma" w:cs="Tahoma"/>
      <w:sz w:val="16"/>
      <w:szCs w:val="16"/>
      <w:lang w:val="uk-UA"/>
    </w:rPr>
  </w:style>
  <w:style w:type="paragraph" w:styleId="a5">
    <w:name w:val="List Paragraph"/>
    <w:basedOn w:val="a"/>
    <w:uiPriority w:val="34"/>
    <w:qFormat/>
    <w:rsid w:val="00985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ell-store\PAO\&#1057;&#1077;&#1082;&#1090;&#1086;&#1088;%20&#1082;&#1086;&#1086;&#1088;&#1076;&#1080;&#1085;&#1072;&#1094;&#1110;&#1111;%20TAIEX\TAIEX%202015-2019\4.%20&#1043;&#1088;&#1072;&#1092;&#1110;&#1082;&#1080;%20&#1058;&#1040;&#1030;&#1045;&#1061;\eng\2019\TAIEX%20Activities%20per%20type%20of%20events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l-store\PAO\&#1057;&#1077;&#1082;&#1090;&#1086;&#1088;%20&#1082;&#1086;&#1086;&#1088;&#1076;&#1080;&#1085;&#1072;&#1094;&#1110;&#1111;%20TAIEX\TAIEX%202015-2019\4.%20&#1043;&#1088;&#1072;&#1092;&#1110;&#1082;&#1080;%20&#1058;&#1040;&#1030;&#1045;&#1061;\eng\2019\&#1058;&#1040;&#1030;&#1045;&#1061;%20Activities_2019.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ell-store\PAO\&#1057;&#1077;&#1082;&#1090;&#1086;&#1088;%20&#1082;&#1086;&#1086;&#1088;&#1076;&#1080;&#1085;&#1072;&#1094;&#1110;&#1111;%20TAIEX\TAIEX%202015-2019\4.%20&#1043;&#1088;&#1072;&#1092;&#1110;&#1082;&#1080;%20&#1058;&#1040;&#1030;&#1045;&#1061;%20(18%20&#1075;&#1088;&#1091;&#1076;&#1085;&#1103;%202018)\ukr\&#1047;&#1072;&#1093;&#1086;&#1076;&#1080;%20TAIEX%20&#1079;&#1072;%20&#1089;&#1077;&#1082;&#1090;&#1086;&#1088;&#1072;&#1084;&#1080;%202006%20-201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8500467876298074E-2"/>
          <c:y val="2.5456990456995385E-2"/>
          <c:w val="0.81141757604831743"/>
          <c:h val="0.68214802047121847"/>
        </c:manualLayout>
      </c:layout>
      <c:barChart>
        <c:barDir val="col"/>
        <c:grouping val="clustered"/>
        <c:varyColors val="0"/>
        <c:ser>
          <c:idx val="0"/>
          <c:order val="0"/>
          <c:tx>
            <c:strRef>
              <c:f>Лист1!$B$41</c:f>
              <c:strCache>
                <c:ptCount val="1"/>
                <c:pt idx="0">
                  <c:v>study visit</c:v>
                </c:pt>
              </c:strCache>
            </c:strRef>
          </c:tx>
          <c:invertIfNegative val="0"/>
          <c:cat>
            <c:strRef>
              <c:f>Лист1!$A$42:$A$55</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01.11.2019 </c:v>
                </c:pt>
              </c:strCache>
            </c:strRef>
          </c:cat>
          <c:val>
            <c:numRef>
              <c:f>Лист1!$B$42:$B$55</c:f>
              <c:numCache>
                <c:formatCode>General</c:formatCode>
                <c:ptCount val="14"/>
                <c:pt idx="0">
                  <c:v>0</c:v>
                </c:pt>
                <c:pt idx="1">
                  <c:v>4</c:v>
                </c:pt>
                <c:pt idx="2">
                  <c:v>4</c:v>
                </c:pt>
                <c:pt idx="3">
                  <c:v>8</c:v>
                </c:pt>
                <c:pt idx="4">
                  <c:v>16</c:v>
                </c:pt>
                <c:pt idx="5">
                  <c:v>25</c:v>
                </c:pt>
                <c:pt idx="6">
                  <c:v>22</c:v>
                </c:pt>
                <c:pt idx="7">
                  <c:v>21</c:v>
                </c:pt>
                <c:pt idx="8">
                  <c:v>28</c:v>
                </c:pt>
                <c:pt idx="9">
                  <c:v>28</c:v>
                </c:pt>
                <c:pt idx="10">
                  <c:v>27</c:v>
                </c:pt>
                <c:pt idx="11">
                  <c:v>14</c:v>
                </c:pt>
                <c:pt idx="12">
                  <c:v>21</c:v>
                </c:pt>
                <c:pt idx="13">
                  <c:v>7</c:v>
                </c:pt>
              </c:numCache>
            </c:numRef>
          </c:val>
        </c:ser>
        <c:ser>
          <c:idx val="1"/>
          <c:order val="1"/>
          <c:tx>
            <c:strRef>
              <c:f>Лист1!$C$41</c:f>
              <c:strCache>
                <c:ptCount val="1"/>
                <c:pt idx="0">
                  <c:v>expert mission</c:v>
                </c:pt>
              </c:strCache>
            </c:strRef>
          </c:tx>
          <c:invertIfNegative val="0"/>
          <c:cat>
            <c:strRef>
              <c:f>Лист1!$A$42:$A$55</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01.11.2019 </c:v>
                </c:pt>
              </c:strCache>
            </c:strRef>
          </c:cat>
          <c:val>
            <c:numRef>
              <c:f>Лист1!$C$42:$C$55</c:f>
              <c:numCache>
                <c:formatCode>General</c:formatCode>
                <c:ptCount val="14"/>
                <c:pt idx="0">
                  <c:v>0</c:v>
                </c:pt>
                <c:pt idx="1">
                  <c:v>3</c:v>
                </c:pt>
                <c:pt idx="2">
                  <c:v>4</c:v>
                </c:pt>
                <c:pt idx="3">
                  <c:v>7</c:v>
                </c:pt>
                <c:pt idx="4">
                  <c:v>14</c:v>
                </c:pt>
                <c:pt idx="5">
                  <c:v>17</c:v>
                </c:pt>
                <c:pt idx="6">
                  <c:v>14</c:v>
                </c:pt>
                <c:pt idx="7">
                  <c:v>6</c:v>
                </c:pt>
                <c:pt idx="8">
                  <c:v>10</c:v>
                </c:pt>
                <c:pt idx="9">
                  <c:v>40</c:v>
                </c:pt>
                <c:pt idx="10">
                  <c:v>23</c:v>
                </c:pt>
                <c:pt idx="11">
                  <c:v>13</c:v>
                </c:pt>
                <c:pt idx="12">
                  <c:v>18</c:v>
                </c:pt>
                <c:pt idx="13">
                  <c:v>10</c:v>
                </c:pt>
              </c:numCache>
            </c:numRef>
          </c:val>
        </c:ser>
        <c:ser>
          <c:idx val="2"/>
          <c:order val="2"/>
          <c:tx>
            <c:strRef>
              <c:f>Лист1!$D$41</c:f>
              <c:strCache>
                <c:ptCount val="1"/>
                <c:pt idx="0">
                  <c:v>workshop</c:v>
                </c:pt>
              </c:strCache>
            </c:strRef>
          </c:tx>
          <c:invertIfNegative val="0"/>
          <c:cat>
            <c:strRef>
              <c:f>Лист1!$A$42:$A$55</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01.11.2019 </c:v>
                </c:pt>
              </c:strCache>
            </c:strRef>
          </c:cat>
          <c:val>
            <c:numRef>
              <c:f>Лист1!$D$42:$D$55</c:f>
              <c:numCache>
                <c:formatCode>General</c:formatCode>
                <c:ptCount val="14"/>
                <c:pt idx="0">
                  <c:v>10</c:v>
                </c:pt>
                <c:pt idx="1">
                  <c:v>26</c:v>
                </c:pt>
                <c:pt idx="2">
                  <c:v>22</c:v>
                </c:pt>
                <c:pt idx="3">
                  <c:v>34</c:v>
                </c:pt>
                <c:pt idx="4">
                  <c:v>63</c:v>
                </c:pt>
                <c:pt idx="5">
                  <c:v>40</c:v>
                </c:pt>
                <c:pt idx="6">
                  <c:v>34</c:v>
                </c:pt>
                <c:pt idx="7">
                  <c:v>38</c:v>
                </c:pt>
                <c:pt idx="8">
                  <c:v>12</c:v>
                </c:pt>
                <c:pt idx="9">
                  <c:v>38</c:v>
                </c:pt>
                <c:pt idx="10">
                  <c:v>34</c:v>
                </c:pt>
                <c:pt idx="11">
                  <c:v>24</c:v>
                </c:pt>
                <c:pt idx="12">
                  <c:v>21</c:v>
                </c:pt>
                <c:pt idx="13">
                  <c:v>15</c:v>
                </c:pt>
              </c:numCache>
            </c:numRef>
          </c:val>
        </c:ser>
        <c:dLbls>
          <c:showLegendKey val="0"/>
          <c:showVal val="0"/>
          <c:showCatName val="0"/>
          <c:showSerName val="0"/>
          <c:showPercent val="0"/>
          <c:showBubbleSize val="0"/>
        </c:dLbls>
        <c:gapWidth val="150"/>
        <c:axId val="145627008"/>
        <c:axId val="145628544"/>
      </c:barChart>
      <c:catAx>
        <c:axId val="145627008"/>
        <c:scaling>
          <c:orientation val="minMax"/>
        </c:scaling>
        <c:delete val="0"/>
        <c:axPos val="b"/>
        <c:majorTickMark val="out"/>
        <c:minorTickMark val="none"/>
        <c:tickLblPos val="nextTo"/>
        <c:crossAx val="145628544"/>
        <c:crosses val="autoZero"/>
        <c:auto val="1"/>
        <c:lblAlgn val="ctr"/>
        <c:lblOffset val="100"/>
        <c:noMultiLvlLbl val="0"/>
      </c:catAx>
      <c:valAx>
        <c:axId val="145628544"/>
        <c:scaling>
          <c:orientation val="minMax"/>
        </c:scaling>
        <c:delete val="0"/>
        <c:axPos val="l"/>
        <c:majorGridlines/>
        <c:numFmt formatCode="General" sourceLinked="1"/>
        <c:majorTickMark val="out"/>
        <c:minorTickMark val="none"/>
        <c:tickLblPos val="nextTo"/>
        <c:crossAx val="145627008"/>
        <c:crosses val="autoZero"/>
        <c:crossBetween val="between"/>
      </c:valAx>
    </c:plotArea>
    <c:legend>
      <c:legendPos val="r"/>
      <c:layout>
        <c:manualLayout>
          <c:xMode val="edge"/>
          <c:yMode val="edge"/>
          <c:x val="0.86815708909090084"/>
          <c:y val="0.14835889971215052"/>
          <c:w val="0.12031138155893564"/>
          <c:h val="0.4535167228758517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6.0359966396469206E-2"/>
          <c:y val="5.0311570497998982E-2"/>
          <c:w val="0.6325206743722146"/>
          <c:h val="0.65256302513511444"/>
        </c:manualLayout>
      </c:layout>
      <c:barChart>
        <c:barDir val="col"/>
        <c:grouping val="clustered"/>
        <c:varyColors val="0"/>
        <c:ser>
          <c:idx val="0"/>
          <c:order val="0"/>
          <c:tx>
            <c:strRef>
              <c:f>Лист1!$B$2</c:f>
              <c:strCache>
                <c:ptCount val="1"/>
                <c:pt idx="0">
                  <c:v> events initiated by the European Commission</c:v>
                </c:pt>
              </c:strCache>
            </c:strRef>
          </c:tx>
          <c:invertIfNegative val="0"/>
          <c:dLbls>
            <c:showLegendKey val="0"/>
            <c:showVal val="1"/>
            <c:showCatName val="0"/>
            <c:showSerName val="0"/>
            <c:showPercent val="0"/>
            <c:showBubbleSize val="0"/>
            <c:showLeaderLines val="0"/>
          </c:dLbls>
          <c:cat>
            <c:strRef>
              <c:f>Лист1!$A$3:$A$16</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01.11.2019 </c:v>
                </c:pt>
              </c:strCache>
            </c:strRef>
          </c:cat>
          <c:val>
            <c:numRef>
              <c:f>Лист1!$B$3:$B$16</c:f>
              <c:numCache>
                <c:formatCode>General</c:formatCode>
                <c:ptCount val="14"/>
                <c:pt idx="0">
                  <c:v>8</c:v>
                </c:pt>
                <c:pt idx="1">
                  <c:v>18</c:v>
                </c:pt>
                <c:pt idx="2">
                  <c:v>15</c:v>
                </c:pt>
                <c:pt idx="3">
                  <c:v>16</c:v>
                </c:pt>
                <c:pt idx="4">
                  <c:v>17</c:v>
                </c:pt>
                <c:pt idx="5">
                  <c:v>10</c:v>
                </c:pt>
                <c:pt idx="6">
                  <c:v>8</c:v>
                </c:pt>
                <c:pt idx="7">
                  <c:v>18</c:v>
                </c:pt>
                <c:pt idx="8">
                  <c:v>0</c:v>
                </c:pt>
                <c:pt idx="9">
                  <c:v>10</c:v>
                </c:pt>
                <c:pt idx="10">
                  <c:v>12</c:v>
                </c:pt>
                <c:pt idx="11">
                  <c:v>9</c:v>
                </c:pt>
                <c:pt idx="12">
                  <c:v>7</c:v>
                </c:pt>
                <c:pt idx="13">
                  <c:v>6</c:v>
                </c:pt>
              </c:numCache>
            </c:numRef>
          </c:val>
        </c:ser>
        <c:ser>
          <c:idx val="1"/>
          <c:order val="1"/>
          <c:tx>
            <c:strRef>
              <c:f>Лист1!$C$2</c:f>
              <c:strCache>
                <c:ptCount val="1"/>
                <c:pt idx="0">
                  <c:v>events initiated by the Ukrainian government authorities </c:v>
                </c:pt>
              </c:strCache>
            </c:strRef>
          </c:tx>
          <c:spPr>
            <a:pattFill prst="wdDnDiag">
              <a:fgClr>
                <a:schemeClr val="accent1"/>
              </a:fgClr>
              <a:bgClr>
                <a:schemeClr val="bg1"/>
              </a:bgClr>
            </a:pattFill>
          </c:spPr>
          <c:invertIfNegative val="0"/>
          <c:dLbls>
            <c:showLegendKey val="0"/>
            <c:showVal val="1"/>
            <c:showCatName val="0"/>
            <c:showSerName val="0"/>
            <c:showPercent val="0"/>
            <c:showBubbleSize val="0"/>
            <c:showLeaderLines val="0"/>
          </c:dLbls>
          <c:cat>
            <c:strRef>
              <c:f>Лист1!$A$3:$A$16</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01.11.2019 </c:v>
                </c:pt>
              </c:strCache>
            </c:strRef>
          </c:cat>
          <c:val>
            <c:numRef>
              <c:f>Лист1!$C$3:$C$16</c:f>
              <c:numCache>
                <c:formatCode>General</c:formatCode>
                <c:ptCount val="14"/>
                <c:pt idx="0">
                  <c:v>2</c:v>
                </c:pt>
                <c:pt idx="1">
                  <c:v>15</c:v>
                </c:pt>
                <c:pt idx="2">
                  <c:v>15</c:v>
                </c:pt>
                <c:pt idx="3">
                  <c:v>33</c:v>
                </c:pt>
                <c:pt idx="4">
                  <c:v>76</c:v>
                </c:pt>
                <c:pt idx="5">
                  <c:v>72</c:v>
                </c:pt>
                <c:pt idx="6">
                  <c:v>62</c:v>
                </c:pt>
                <c:pt idx="7">
                  <c:v>47</c:v>
                </c:pt>
                <c:pt idx="8">
                  <c:v>50</c:v>
                </c:pt>
                <c:pt idx="9">
                  <c:v>96</c:v>
                </c:pt>
                <c:pt idx="10">
                  <c:v>72</c:v>
                </c:pt>
                <c:pt idx="11">
                  <c:v>42</c:v>
                </c:pt>
                <c:pt idx="12">
                  <c:v>60</c:v>
                </c:pt>
                <c:pt idx="13">
                  <c:v>32</c:v>
                </c:pt>
              </c:numCache>
            </c:numRef>
          </c:val>
        </c:ser>
        <c:dLbls>
          <c:showLegendKey val="0"/>
          <c:showVal val="0"/>
          <c:showCatName val="0"/>
          <c:showSerName val="0"/>
          <c:showPercent val="0"/>
          <c:showBubbleSize val="0"/>
        </c:dLbls>
        <c:gapWidth val="150"/>
        <c:axId val="155132672"/>
        <c:axId val="155134208"/>
      </c:barChart>
      <c:catAx>
        <c:axId val="155132672"/>
        <c:scaling>
          <c:orientation val="minMax"/>
        </c:scaling>
        <c:delete val="0"/>
        <c:axPos val="b"/>
        <c:majorTickMark val="out"/>
        <c:minorTickMark val="none"/>
        <c:tickLblPos val="nextTo"/>
        <c:crossAx val="155134208"/>
        <c:crosses val="autoZero"/>
        <c:auto val="1"/>
        <c:lblAlgn val="ctr"/>
        <c:lblOffset val="100"/>
        <c:noMultiLvlLbl val="0"/>
      </c:catAx>
      <c:valAx>
        <c:axId val="155134208"/>
        <c:scaling>
          <c:orientation val="minMax"/>
        </c:scaling>
        <c:delete val="0"/>
        <c:axPos val="l"/>
        <c:majorGridlines/>
        <c:numFmt formatCode="General" sourceLinked="1"/>
        <c:majorTickMark val="out"/>
        <c:minorTickMark val="none"/>
        <c:tickLblPos val="nextTo"/>
        <c:crossAx val="155132672"/>
        <c:crosses val="autoZero"/>
        <c:crossBetween val="between"/>
      </c:valAx>
    </c:plotArea>
    <c:legend>
      <c:legendPos val="r"/>
      <c:layout>
        <c:manualLayout>
          <c:xMode val="edge"/>
          <c:yMode val="edge"/>
          <c:x val="0.67534758944067419"/>
          <c:y val="0.12308694248025254"/>
          <c:w val="0.31296447834933272"/>
          <c:h val="0.5000617289236759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545987677361959E-2"/>
          <c:y val="0.11428995037697884"/>
          <c:w val="0.83442054233898899"/>
          <c:h val="0.7936158858915191"/>
        </c:manualLayout>
      </c:layout>
      <c:pie3DChart>
        <c:varyColors val="1"/>
        <c:ser>
          <c:idx val="0"/>
          <c:order val="0"/>
          <c:dPt>
            <c:idx val="0"/>
            <c:bubble3D val="0"/>
            <c:spPr>
              <a:pattFill prst="ltUpDiag">
                <a:fgClr>
                  <a:schemeClr val="accent2"/>
                </a:fgClr>
                <a:bgClr>
                  <a:schemeClr val="bg1"/>
                </a:bgClr>
              </a:pattFill>
            </c:spPr>
            <c:extLst xmlns:c16r2="http://schemas.microsoft.com/office/drawing/2015/06/chart">
              <c:ext xmlns:c16="http://schemas.microsoft.com/office/drawing/2014/chart" uri="{C3380CC4-5D6E-409C-BE32-E72D297353CC}">
                <c16:uniqueId val="{00000001-57A5-4A05-9587-3EC5D42199A7}"/>
              </c:ext>
            </c:extLst>
          </c:dPt>
          <c:dPt>
            <c:idx val="1"/>
            <c:bubble3D val="0"/>
            <c:spPr>
              <a:pattFill prst="pct75">
                <a:fgClr>
                  <a:schemeClr val="tx2"/>
                </a:fgClr>
                <a:bgClr>
                  <a:schemeClr val="bg1"/>
                </a:bgClr>
              </a:pattFill>
            </c:spPr>
            <c:extLst xmlns:c16r2="http://schemas.microsoft.com/office/drawing/2015/06/chart">
              <c:ext xmlns:c16="http://schemas.microsoft.com/office/drawing/2014/chart" uri="{C3380CC4-5D6E-409C-BE32-E72D297353CC}">
                <c16:uniqueId val="{00000003-57A5-4A05-9587-3EC5D42199A7}"/>
              </c:ext>
            </c:extLst>
          </c:dPt>
          <c:dPt>
            <c:idx val="2"/>
            <c:bubble3D val="0"/>
            <c:spPr>
              <a:pattFill prst="narHorz">
                <a:fgClr>
                  <a:schemeClr val="tx2"/>
                </a:fgClr>
                <a:bgClr>
                  <a:schemeClr val="bg1"/>
                </a:bgClr>
              </a:pattFill>
            </c:spPr>
            <c:extLst xmlns:c16r2="http://schemas.microsoft.com/office/drawing/2015/06/chart">
              <c:ext xmlns:c16="http://schemas.microsoft.com/office/drawing/2014/chart" uri="{C3380CC4-5D6E-409C-BE32-E72D297353CC}">
                <c16:uniqueId val="{00000005-57A5-4A05-9587-3EC5D42199A7}"/>
              </c:ext>
            </c:extLst>
          </c:dPt>
          <c:dPt>
            <c:idx val="3"/>
            <c:bubble3D val="0"/>
            <c:spPr>
              <a:pattFill prst="pct5">
                <a:fgClr>
                  <a:schemeClr val="accent2"/>
                </a:fgClr>
                <a:bgClr>
                  <a:schemeClr val="bg1"/>
                </a:bgClr>
              </a:pattFill>
            </c:spPr>
            <c:extLst xmlns:c16r2="http://schemas.microsoft.com/office/drawing/2015/06/chart">
              <c:ext xmlns:c16="http://schemas.microsoft.com/office/drawing/2014/chart" uri="{C3380CC4-5D6E-409C-BE32-E72D297353CC}">
                <c16:uniqueId val="{00000007-57A5-4A05-9587-3EC5D42199A7}"/>
              </c:ext>
            </c:extLst>
          </c:dPt>
          <c:dLbls>
            <c:dLbl>
              <c:idx val="0"/>
              <c:layout>
                <c:manualLayout>
                  <c:x val="6.6083725306196911E-2"/>
                  <c:y val="2.2505557320821101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mn-lt"/>
                        <a:ea typeface="+mn-ea"/>
                        <a:cs typeface="+mn-cs"/>
                      </a:defRPr>
                    </a:pPr>
                    <a:r>
                      <a:rPr lang="en-US" sz="1050" b="0" i="0" baseline="0">
                        <a:effectLst/>
                        <a:latin typeface="+mn-lt"/>
                      </a:rPr>
                      <a:t>Justice and Home Affairs; </a:t>
                    </a:r>
                    <a:endParaRPr lang="ru-RU" sz="1050" b="0">
                      <a:effectLst/>
                      <a:latin typeface="+mn-lt"/>
                    </a:endParaRPr>
                  </a:p>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mn-lt"/>
                        <a:ea typeface="+mn-ea"/>
                        <a:cs typeface="+mn-cs"/>
                      </a:defRPr>
                    </a:pPr>
                    <a:r>
                      <a:rPr lang="uk-UA" sz="1050" b="0">
                        <a:latin typeface="+mn-lt"/>
                      </a:rPr>
                      <a:t> 20</a:t>
                    </a:r>
                    <a:r>
                      <a:rPr lang="en-US" sz="1050" b="0">
                        <a:latin typeface="+mn-lt"/>
                      </a:rPr>
                      <a:t>5</a:t>
                    </a:r>
                    <a:r>
                      <a:rPr lang="uk-UA" sz="1050" b="0">
                        <a:latin typeface="+mn-lt"/>
                      </a:rPr>
                      <a:t>
</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7A5-4A05-9587-3EC5D42199A7}"/>
                </c:ext>
              </c:extLst>
            </c:dLbl>
            <c:dLbl>
              <c:idx val="1"/>
              <c:layout>
                <c:manualLayout>
                  <c:x val="0.22238659230096239"/>
                  <c:y val="-4.2291484397783609E-2"/>
                </c:manualLayout>
              </c:layout>
              <c:tx>
                <c:rich>
                  <a:bodyPr/>
                  <a:lstStyle/>
                  <a:p>
                    <a:r>
                      <a:rPr lang="en-US" sz="1050"/>
                      <a:t>Internal </a:t>
                    </a:r>
                    <a:r>
                      <a:rPr lang="en-US" sz="1050" baseline="0"/>
                      <a:t> market</a:t>
                    </a:r>
                    <a:r>
                      <a:rPr lang="uk-UA" sz="1050"/>
                      <a:t>;
36</a:t>
                    </a:r>
                    <a:r>
                      <a:rPr lang="en-US" sz="1050"/>
                      <a:t>7</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7A5-4A05-9587-3EC5D42199A7}"/>
                </c:ext>
              </c:extLst>
            </c:dLbl>
            <c:dLbl>
              <c:idx val="2"/>
              <c:layout>
                <c:manualLayout>
                  <c:x val="-1.4781312534367123E-2"/>
                  <c:y val="0.38318666248772243"/>
                </c:manualLayout>
              </c:layout>
              <c:tx>
                <c:rich>
                  <a:bodyPr/>
                  <a:lstStyle/>
                  <a:p>
                    <a:r>
                      <a:rPr lang="en-US" sz="1050"/>
                      <a:t>Environment, Telecommunications and Transport</a:t>
                    </a:r>
                    <a:r>
                      <a:rPr lang="uk-UA" sz="1050"/>
                      <a:t>;</a:t>
                    </a:r>
                    <a:r>
                      <a:rPr lang="uk-UA" sz="1050" baseline="0"/>
                      <a:t> </a:t>
                    </a:r>
                    <a:r>
                      <a:rPr lang="uk-UA" sz="1050"/>
                      <a:t> 
15</a:t>
                    </a:r>
                    <a:r>
                      <a:rPr lang="en-US" sz="1050"/>
                      <a:t>5</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7A5-4A05-9587-3EC5D42199A7}"/>
                </c:ext>
              </c:extLst>
            </c:dLbl>
            <c:dLbl>
              <c:idx val="3"/>
              <c:layout/>
              <c:tx>
                <c:rich>
                  <a:bodyPr/>
                  <a:lstStyle/>
                  <a:p>
                    <a:r>
                      <a:rPr lang="en-US" sz="1050"/>
                      <a:t>Agriculture and Food</a:t>
                    </a:r>
                    <a:r>
                      <a:rPr lang="en-US" sz="1050" baseline="0"/>
                      <a:t> Safety</a:t>
                    </a:r>
                    <a:r>
                      <a:rPr lang="uk-UA" sz="1050"/>
                      <a:t>;
99 </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7A5-4A05-9587-3EC5D42199A7}"/>
                </c:ext>
              </c:extLst>
            </c:dLbl>
            <c:spPr>
              <a:noFill/>
              <a:ln>
                <a:noFill/>
              </a:ln>
              <a:effectLst/>
            </c:spPr>
            <c:txPr>
              <a:bodyPr/>
              <a:lstStyle/>
              <a:p>
                <a:pPr>
                  <a:defRPr sz="1050"/>
                </a:pPr>
                <a:endParaRPr lang="uk-UA"/>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юстиція та внутрішні справи </c:v>
                </c:pt>
                <c:pt idx="1">
                  <c:v>внутрішній ринок </c:v>
                </c:pt>
                <c:pt idx="2">
                  <c:v>навколишнє середовище, телекомунікації та транспорт </c:v>
                </c:pt>
                <c:pt idx="3">
                  <c:v>сільське господарство та безпека харчових продуктів </c:v>
                </c:pt>
              </c:strCache>
            </c:strRef>
          </c:cat>
          <c:val>
            <c:numRef>
              <c:f>Лист1!$B$2:$B$5</c:f>
              <c:numCache>
                <c:formatCode>General</c:formatCode>
                <c:ptCount val="4"/>
                <c:pt idx="0">
                  <c:v>201</c:v>
                </c:pt>
                <c:pt idx="1">
                  <c:v>359</c:v>
                </c:pt>
                <c:pt idx="2">
                  <c:v>151</c:v>
                </c:pt>
                <c:pt idx="3">
                  <c:v>98</c:v>
                </c:pt>
              </c:numCache>
            </c:numRef>
          </c:val>
          <c:extLst xmlns:c16r2="http://schemas.microsoft.com/office/drawing/2015/06/chart">
            <c:ext xmlns:c16="http://schemas.microsoft.com/office/drawing/2014/chart" uri="{C3380CC4-5D6E-409C-BE32-E72D297353CC}">
              <c16:uniqueId val="{00000008-57A5-4A05-9587-3EC5D42199A7}"/>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TotalTime>
  <Pages>3</Pages>
  <Words>2650</Words>
  <Characters>1512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Підгорна</dc:creator>
  <cp:lastModifiedBy>Анастасія Підгорна</cp:lastModifiedBy>
  <cp:revision>5</cp:revision>
  <cp:lastPrinted>2019-06-12T13:07:00Z</cp:lastPrinted>
  <dcterms:created xsi:type="dcterms:W3CDTF">2019-09-03T09:15:00Z</dcterms:created>
  <dcterms:modified xsi:type="dcterms:W3CDTF">2019-11-04T07:58:00Z</dcterms:modified>
</cp:coreProperties>
</file>